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1D" w:rsidRPr="00A53617" w:rsidRDefault="0014021D" w:rsidP="0014021D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:rsidR="00C337BF" w:rsidRPr="00A53617" w:rsidRDefault="0014021D" w:rsidP="00C337BF">
      <w:pPr>
        <w:spacing w:after="0" w:line="240" w:lineRule="auto"/>
        <w:rPr>
          <w:rFonts w:ascii="Agency FB" w:hAnsi="Agency FB"/>
          <w:b/>
          <w:bCs/>
          <w:noProof/>
          <w:color w:val="000000" w:themeColor="text1"/>
          <w:sz w:val="12"/>
          <w:szCs w:val="12"/>
          <w:rtl/>
        </w:rPr>
      </w:pPr>
      <w:r w:rsidRPr="00A53617">
        <w:rPr>
          <w:rFonts w:ascii="Agency FB" w:hAnsi="Agency FB"/>
          <w:b/>
          <w:bCs/>
          <w:noProof/>
          <w:color w:val="000000" w:themeColor="text1"/>
          <w:sz w:val="12"/>
          <w:szCs w:val="12"/>
          <w:lang w:eastAsia="fr-FR"/>
        </w:rPr>
        <w:drawing>
          <wp:inline distT="0" distB="0" distL="0" distR="0">
            <wp:extent cx="1407748" cy="517585"/>
            <wp:effectExtent l="19050" t="0" r="1952" b="0"/>
            <wp:docPr id="1" name="Picture 1" descr="Description :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 : 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17">
        <w:rPr>
          <w:rFonts w:ascii="Agency FB" w:hAnsi="Agency FB"/>
          <w:b/>
          <w:bCs/>
          <w:noProof/>
          <w:color w:val="000000" w:themeColor="text1"/>
          <w:sz w:val="12"/>
          <w:szCs w:val="12"/>
        </w:rPr>
        <w:t xml:space="preserve">                                                                              </w:t>
      </w:r>
    </w:p>
    <w:p w:rsidR="0014021D" w:rsidRPr="00A53617" w:rsidRDefault="00640A3C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EPE-</w:t>
      </w:r>
      <w:r w:rsidR="0014021D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ALGERIE TELECOM</w:t>
      </w: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-SPA</w:t>
      </w:r>
    </w:p>
    <w:p w:rsidR="00F11E8F" w:rsidRPr="00A53617" w:rsidRDefault="0014021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OPERATIONNELLE </w:t>
      </w:r>
      <w:r w:rsidR="00F11E8F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 LA WILAYA DE BISKRA</w:t>
      </w:r>
    </w:p>
    <w:p w:rsidR="0014021D" w:rsidRPr="00A53617" w:rsidRDefault="00F11E8F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NIF : 000216299033049</w:t>
      </w:r>
      <w:r w:rsidR="0014021D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AB3CED" w:rsidRPr="00A53617" w:rsidRDefault="00AB3CE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Sous-direction fonctions su</w:t>
      </w:r>
      <w:r w:rsidR="00FE7BCB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port</w:t>
      </w:r>
    </w:p>
    <w:p w:rsidR="00AB3CED" w:rsidRPr="00A53617" w:rsidRDefault="00AB3CE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Département Achat</w:t>
      </w:r>
      <w:r w:rsidR="00E5304D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et logistique</w:t>
      </w:r>
    </w:p>
    <w:p w:rsidR="00AB3CED" w:rsidRPr="00A53617" w:rsidRDefault="00AB3CE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Service Achat</w:t>
      </w:r>
    </w:p>
    <w:p w:rsidR="00445954" w:rsidRPr="00A53617" w:rsidRDefault="00445954" w:rsidP="00C337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938"/>
          <w:tab w:val="left" w:pos="8931"/>
        </w:tabs>
        <w:spacing w:after="0" w:line="240" w:lineRule="auto"/>
        <w:ind w:left="1276" w:right="141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Hlk536694914"/>
      <w:bookmarkStart w:id="1" w:name="_Hlk536693615"/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AVIS DE CONSULTATION NATIONALE </w:t>
      </w:r>
    </w:p>
    <w:p w:rsidR="009426C5" w:rsidRPr="00A53617" w:rsidRDefault="009426C5" w:rsidP="00C337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938"/>
          <w:tab w:val="left" w:pos="8931"/>
        </w:tabs>
        <w:spacing w:after="0" w:line="240" w:lineRule="auto"/>
        <w:ind w:left="1276" w:right="141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N° : </w:t>
      </w:r>
      <w:r w:rsidR="00F67535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>03</w:t>
      </w: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/DO/SDFS/DAL/SA/20</w:t>
      </w:r>
      <w:bookmarkEnd w:id="0"/>
      <w:bookmarkEnd w:id="1"/>
      <w:r w:rsidR="00F67535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>20</w:t>
      </w:r>
    </w:p>
    <w:p w:rsidR="00C337BF" w:rsidRPr="00A53617" w:rsidRDefault="00C337BF" w:rsidP="00C337BF">
      <w:pPr>
        <w:pStyle w:val="Titre2"/>
        <w:numPr>
          <w:ilvl w:val="0"/>
          <w:numId w:val="0"/>
        </w:numPr>
        <w:spacing w:before="0" w:after="0" w:line="240" w:lineRule="auto"/>
        <w:ind w:left="284" w:right="566" w:firstLine="142"/>
        <w:rPr>
          <w:rFonts w:asciiTheme="majorBidi" w:eastAsia="Calibri" w:hAnsiTheme="majorBidi" w:cstheme="majorBidi"/>
          <w:b w:val="0"/>
          <w:smallCaps w:val="0"/>
          <w:color w:val="000000" w:themeColor="text1"/>
          <w:sz w:val="24"/>
          <w:szCs w:val="24"/>
          <w:rtl/>
          <w:lang w:eastAsia="en-US"/>
        </w:rPr>
      </w:pPr>
    </w:p>
    <w:p w:rsidR="00345544" w:rsidRPr="00A53617" w:rsidRDefault="00445954" w:rsidP="00E5304D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A53617">
        <w:rPr>
          <w:rFonts w:asciiTheme="majorBidi" w:eastAsia="Calibri" w:hAnsiTheme="majorBidi" w:cstheme="majorBidi"/>
          <w:b w:val="0"/>
          <w:smallCaps w:val="0"/>
          <w:color w:val="000000" w:themeColor="text1"/>
          <w:sz w:val="24"/>
          <w:szCs w:val="24"/>
          <w:lang w:eastAsia="en-US"/>
        </w:rPr>
        <w:t>Un avis de consultation nationale est lancé pour :</w:t>
      </w:r>
    </w:p>
    <w:p w:rsidR="004774A4" w:rsidRPr="00A53617" w:rsidRDefault="00345544" w:rsidP="00C337BF">
      <w:pPr>
        <w:pStyle w:val="Titre2"/>
        <w:numPr>
          <w:ilvl w:val="0"/>
          <w:numId w:val="0"/>
        </w:numPr>
        <w:spacing w:before="0" w:after="0" w:line="240" w:lineRule="auto"/>
        <w:ind w:right="566" w:firstLine="708"/>
        <w:jc w:val="center"/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</w:pPr>
      <w:bookmarkStart w:id="2" w:name="_Hlk515451164"/>
      <w:r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Acquisition de mobiliers et matériels de </w:t>
      </w:r>
      <w:r w:rsidR="00EB79CE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bureau pour la DO de BISKRA</w:t>
      </w:r>
    </w:p>
    <w:bookmarkEnd w:id="2"/>
    <w:p w:rsidR="00E5304D" w:rsidRPr="00A53617" w:rsidRDefault="00E5304D" w:rsidP="00E5304D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334B54" w:rsidRPr="00A53617" w:rsidRDefault="00640A3C" w:rsidP="00E5304D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ELIGIBILITE DES C</w:t>
      </w:r>
      <w:r w:rsidR="00E5304D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NDIDATS</w:t>
      </w:r>
    </w:p>
    <w:p w:rsidR="00345544" w:rsidRPr="00A53617" w:rsidRDefault="00445954" w:rsidP="00C337BF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  <w:rtl/>
        </w:rPr>
      </w:pP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Les représentants des sociétés intéressé</w:t>
      </w:r>
      <w:r w:rsidR="00E5304D"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>e</w:t>
      </w: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s peuvent se présenter pour retirer le cahier des charges, </w:t>
      </w:r>
      <w:r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accompagnés du cachet de l’entreprise</w:t>
      </w: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 l’adresse ci-après :</w:t>
      </w:r>
    </w:p>
    <w:p w:rsidR="00E5304D" w:rsidRPr="00A53617" w:rsidRDefault="00E5304D" w:rsidP="00C337BF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bCs/>
          <w:color w:val="000000" w:themeColor="text1"/>
          <w:w w:val="105"/>
          <w:sz w:val="24"/>
          <w:szCs w:val="24"/>
        </w:rPr>
      </w:pPr>
    </w:p>
    <w:p w:rsidR="005F214D" w:rsidRPr="00A53617" w:rsidRDefault="005F214D" w:rsidP="00E5304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Direction </w:t>
      </w:r>
      <w:r w:rsidR="00E5304D"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Opérationnelle </w:t>
      </w:r>
      <w:r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>de BISKRA</w:t>
      </w:r>
      <w:bookmarkStart w:id="3" w:name="_GoBack"/>
      <w:bookmarkEnd w:id="3"/>
    </w:p>
    <w:p w:rsidR="005F214D" w:rsidRPr="00A53617" w:rsidRDefault="005F214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Sous-Direction Fonctions Support</w:t>
      </w:r>
    </w:p>
    <w:p w:rsidR="005F214D" w:rsidRPr="00A53617" w:rsidRDefault="005F214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Département Achat</w:t>
      </w:r>
      <w:r w:rsidR="00E5304D"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s</w:t>
      </w:r>
      <w:r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 et Logistique</w:t>
      </w:r>
    </w:p>
    <w:p w:rsidR="005F214D" w:rsidRPr="00A53617" w:rsidRDefault="005F214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>Bureau des march</w:t>
      </w:r>
      <w:r w:rsidR="0012775C"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és</w:t>
      </w:r>
    </w:p>
    <w:p w:rsidR="005F214D" w:rsidRPr="00A53617" w:rsidRDefault="005F214D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 xml:space="preserve">Boulevard </w:t>
      </w:r>
      <w:proofErr w:type="spellStart"/>
      <w:r w:rsidRPr="00A53617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Hamouda</w:t>
      </w:r>
      <w:proofErr w:type="spellEnd"/>
      <w:r w:rsidRPr="00A53617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 xml:space="preserve"> Ahmed Ben </w:t>
      </w:r>
      <w:proofErr w:type="spellStart"/>
      <w:r w:rsidRPr="00A53617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Abderazzek</w:t>
      </w:r>
      <w:proofErr w:type="spellEnd"/>
      <w:r w:rsidRPr="00A53617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  <w:t>, BISKRA</w:t>
      </w:r>
    </w:p>
    <w:p w:rsidR="00334B54" w:rsidRPr="00A53617" w:rsidRDefault="00334B54" w:rsidP="00C337BF">
      <w:pPr>
        <w:tabs>
          <w:tab w:val="left" w:pos="709"/>
        </w:tabs>
        <w:spacing w:before="100" w:beforeAutospacing="1"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774A4" w:rsidRPr="00A53617" w:rsidRDefault="0012775C" w:rsidP="00C337BF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Contre le versement auprès de la banque BNA, d’un montant </w:t>
      </w:r>
      <w:r w:rsidR="001F3B3B"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de </w:t>
      </w:r>
      <w:r w:rsidR="00E5304D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deux mille </w:t>
      </w:r>
      <w:r w:rsidR="003010B2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(</w:t>
      </w:r>
      <w:r w:rsidR="00694348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2</w:t>
      </w:r>
      <w:r w:rsidR="003010B2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000,00</w:t>
      </w:r>
      <w:r w:rsidR="005F214D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) </w:t>
      </w:r>
      <w:r w:rsidR="001F3B3B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Dinars,</w:t>
      </w:r>
      <w:r w:rsidR="008E40DE"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</w:t>
      </w: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non remboursable, représentant les frais de documentation et de reprographie au compte </w:t>
      </w:r>
      <w:r w:rsidR="001F3B3B"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bancaire </w:t>
      </w:r>
      <w:r w:rsidR="001F3B3B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BNA</w:t>
      </w:r>
      <w:r w:rsidR="00910398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 </w:t>
      </w:r>
      <w:r w:rsidR="008E40DE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 xml:space="preserve">agence </w:t>
      </w:r>
      <w:r w:rsidR="001F3B3B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386 N</w:t>
      </w:r>
      <w:r w:rsidR="00910398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° 001003860300000054 Clé 82</w:t>
      </w:r>
      <w:r w:rsidR="00A77F7D"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.</w:t>
      </w:r>
    </w:p>
    <w:p w:rsidR="0012775C" w:rsidRPr="00A53617" w:rsidRDefault="0012775C" w:rsidP="00C337BF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2775C" w:rsidRPr="00A53617" w:rsidRDefault="0012775C" w:rsidP="00C337BF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12775C" w:rsidRPr="00A53617" w:rsidRDefault="0012775C" w:rsidP="00E5304D">
      <w:pPr>
        <w:pStyle w:val="Paragraphedeliste"/>
        <w:numPr>
          <w:ilvl w:val="0"/>
          <w:numId w:val="10"/>
        </w:numPr>
        <w:tabs>
          <w:tab w:val="left" w:pos="4060"/>
        </w:tabs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D’un dossier administratif :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 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dans une enveloppe fermée ne comportant que la mention « </w:t>
      </w:r>
      <w:r w:rsidRPr="00A53617">
        <w:rPr>
          <w:rFonts w:asciiTheme="majorBidi" w:hAnsiTheme="majorBidi" w:cstheme="majorBidi"/>
          <w:b/>
          <w:color w:val="000000" w:themeColor="text1"/>
          <w:sz w:val="24"/>
          <w:szCs w:val="24"/>
        </w:rPr>
        <w:t>Dossier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A53617">
        <w:rPr>
          <w:rFonts w:asciiTheme="majorBidi" w:hAnsiTheme="majorBidi" w:cstheme="majorBidi"/>
          <w:b/>
          <w:color w:val="000000" w:themeColor="text1"/>
          <w:sz w:val="24"/>
          <w:szCs w:val="24"/>
        </w:rPr>
        <w:t>Administratif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 ».</w:t>
      </w:r>
    </w:p>
    <w:p w:rsidR="0012775C" w:rsidRPr="00A53617" w:rsidRDefault="0012775C" w:rsidP="00E5304D">
      <w:pPr>
        <w:pStyle w:val="Paragraphedeliste"/>
        <w:numPr>
          <w:ilvl w:val="0"/>
          <w:numId w:val="10"/>
        </w:numPr>
        <w:tabs>
          <w:tab w:val="left" w:pos="4060"/>
        </w:tabs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D’une offre technique : 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Insérée dans une enveloppe fermée ne comportant que la mention « </w:t>
      </w:r>
      <w:r w:rsidRPr="00A53617">
        <w:rPr>
          <w:rFonts w:asciiTheme="majorBidi" w:hAnsiTheme="majorBidi" w:cstheme="majorBidi"/>
          <w:b/>
          <w:color w:val="000000" w:themeColor="text1"/>
          <w:sz w:val="24"/>
          <w:szCs w:val="24"/>
        </w:rPr>
        <w:t>Offre</w:t>
      </w:r>
      <w:r w:rsidR="00E5304D" w:rsidRPr="00A5361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A53617">
        <w:rPr>
          <w:rFonts w:asciiTheme="majorBidi" w:hAnsiTheme="majorBidi" w:cstheme="majorBidi"/>
          <w:b/>
          <w:color w:val="000000" w:themeColor="text1"/>
          <w:sz w:val="24"/>
          <w:szCs w:val="24"/>
        </w:rPr>
        <w:t>technique ».</w:t>
      </w:r>
    </w:p>
    <w:p w:rsidR="0012775C" w:rsidRPr="00A53617" w:rsidRDefault="0012775C" w:rsidP="00C337BF">
      <w:pPr>
        <w:pStyle w:val="Paragraphedeliste"/>
        <w:numPr>
          <w:ilvl w:val="0"/>
          <w:numId w:val="10"/>
        </w:numPr>
        <w:tabs>
          <w:tab w:val="left" w:pos="4060"/>
        </w:tabs>
        <w:spacing w:after="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D’une offre financière :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Insérée dans une enveloppe fermée ne comportant que la mention  « </w:t>
      </w:r>
      <w:r w:rsidRPr="00A536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financière ».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12775C" w:rsidRPr="00A53617" w:rsidRDefault="0012775C" w:rsidP="00C337BF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2775C" w:rsidRPr="00A53617" w:rsidRDefault="0012775C" w:rsidP="00C337BF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E5304D" w:rsidRPr="00A53617" w:rsidRDefault="00E5304D" w:rsidP="00C337BF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B1298" w:rsidRPr="00A53617" w:rsidRDefault="00AB1298" w:rsidP="00E5304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</w:pPr>
      <w:bookmarkStart w:id="4" w:name="_Hlk8542982"/>
      <w:r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Direction </w:t>
      </w:r>
      <w:r w:rsidR="00E5304D"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 xml:space="preserve">Opérationnelle </w:t>
      </w:r>
      <w:r w:rsidRPr="00A53617">
        <w:rPr>
          <w:rFonts w:asciiTheme="majorBidi" w:hAnsiTheme="majorBidi" w:cstheme="majorBidi"/>
          <w:b/>
          <w:bCs/>
          <w:color w:val="000000" w:themeColor="text1"/>
          <w:w w:val="105"/>
          <w:sz w:val="24"/>
          <w:szCs w:val="24"/>
        </w:rPr>
        <w:t>de BISKRA</w:t>
      </w:r>
    </w:p>
    <w:p w:rsidR="007E41A5" w:rsidRPr="00A53617" w:rsidRDefault="007E41A5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AVIS DE CONSULTATION NATIONALE </w:t>
      </w:r>
    </w:p>
    <w:p w:rsidR="00F36435" w:rsidRPr="00A53617" w:rsidRDefault="00F36435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  <w:lang w:val="en-US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  <w:lang w:val="en-US"/>
        </w:rPr>
        <w:t xml:space="preserve">N° : </w:t>
      </w:r>
      <w:r w:rsidR="00567EC5"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  <w:lang w:val="en-US"/>
        </w:rPr>
        <w:t>03</w:t>
      </w:r>
      <w:r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  <w:lang w:val="en-US"/>
        </w:rPr>
        <w:t>/DO/SDFS/DAL/SA/20</w:t>
      </w:r>
      <w:r w:rsidR="00567EC5" w:rsidRPr="00A53617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  <w:lang w:val="en-US"/>
        </w:rPr>
        <w:t>20</w:t>
      </w:r>
    </w:p>
    <w:p w:rsidR="00AB1298" w:rsidRPr="00A53617" w:rsidRDefault="00F36435" w:rsidP="00C337B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</w:rPr>
      </w:pPr>
      <w:r w:rsidRPr="00A53617">
        <w:rPr>
          <w:rFonts w:asciiTheme="majorBidi" w:hAnsiTheme="majorBidi" w:cstheme="majorBidi"/>
          <w:b/>
          <w:bCs/>
          <w:color w:val="000000" w:themeColor="text1"/>
          <w:w w:val="110"/>
          <w:sz w:val="24"/>
          <w:szCs w:val="24"/>
        </w:rPr>
        <w:t>Acquisition de mobiliers et matériels de bureau pour la DO de BISKRA</w:t>
      </w:r>
    </w:p>
    <w:p w:rsidR="00AB1298" w:rsidRPr="00A53617" w:rsidRDefault="007E41A5" w:rsidP="00C337BF">
      <w:pPr>
        <w:pStyle w:val="Titre2"/>
        <w:numPr>
          <w:ilvl w:val="0"/>
          <w:numId w:val="0"/>
        </w:numPr>
        <w:spacing w:before="0" w:after="0" w:line="240" w:lineRule="auto"/>
        <w:ind w:right="566"/>
        <w:jc w:val="center"/>
        <w:rPr>
          <w:rFonts w:asciiTheme="majorBidi" w:hAnsiTheme="majorBidi" w:cstheme="majorBidi"/>
          <w:b w:val="0"/>
          <w:bCs/>
          <w:color w:val="000000" w:themeColor="text1"/>
          <w:sz w:val="24"/>
          <w:szCs w:val="24"/>
        </w:rPr>
      </w:pPr>
      <w:r w:rsidRPr="00A53617">
        <w:rPr>
          <w:rFonts w:asciiTheme="majorBidi" w:eastAsia="Calibri" w:hAnsiTheme="majorBidi" w:cstheme="majorBidi"/>
          <w:bCs/>
          <w:smallCaps w:val="0"/>
          <w:color w:val="000000" w:themeColor="text1"/>
          <w:w w:val="110"/>
          <w:sz w:val="24"/>
          <w:szCs w:val="24"/>
          <w:lang w:eastAsia="en-US"/>
        </w:rPr>
        <w:t>« À n’ouvrir que par la commission d’ouverture des plis et d’évaluation des offres »</w:t>
      </w:r>
    </w:p>
    <w:bookmarkEnd w:id="4"/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304D" w:rsidRPr="00A53617" w:rsidRDefault="00567EC5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b/>
          <w:smallCaps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>Le soumissionnaire doit obligatoirement fournir l’ensemble des pièces citées dans le cahier des charges sous peine de rejet.</w:t>
      </w:r>
    </w:p>
    <w:p w:rsidR="00E5304D" w:rsidRPr="00A53617" w:rsidRDefault="00567EC5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date de dépôt des offres est fixée au 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Quinzième (15) </w:t>
      </w:r>
      <w:r w:rsidR="00E5304D"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jour</w:t>
      </w:r>
      <w:r w:rsidR="00E5304D"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08H00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</w:t>
      </w:r>
      <w:r w:rsidRPr="00A5361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14H00,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partir de la première date de parution du présent avis dans le site web d’Algérie </w:t>
      </w:r>
      <w:r w:rsidR="00E5304D" w:rsidRPr="00A53617">
        <w:rPr>
          <w:rFonts w:asciiTheme="majorBidi" w:hAnsiTheme="majorBidi" w:cstheme="majorBidi"/>
          <w:color w:val="000000" w:themeColor="text1"/>
          <w:sz w:val="24"/>
          <w:szCs w:val="24"/>
        </w:rPr>
        <w:t>Télécom</w:t>
      </w: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E5304D" w:rsidRPr="00A53617" w:rsidRDefault="00567EC5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 ce jour coïncide avec un jour férié ou un jour de repos légal, la durée de préparation des offres est prolongée jusqu’au jour ouvrable suivant. </w:t>
      </w:r>
    </w:p>
    <w:p w:rsidR="00567EC5" w:rsidRPr="00A53617" w:rsidRDefault="00567EC5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color w:val="000000" w:themeColor="text1"/>
          <w:sz w:val="24"/>
          <w:szCs w:val="24"/>
        </w:rPr>
        <w:t>Les soumissions qui parviennent après la date limite de dépôt des plis ne seront pas prises en considération.</w:t>
      </w:r>
    </w:p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304D" w:rsidRPr="00A53617" w:rsidRDefault="00E5304D" w:rsidP="00E5304D">
      <w:pPr>
        <w:tabs>
          <w:tab w:val="left" w:pos="186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67EC5" w:rsidRPr="00A53617" w:rsidRDefault="00567EC5" w:rsidP="00C337BF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14H00</w:t>
      </w: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 la dresse précitée.</w:t>
      </w:r>
    </w:p>
    <w:p w:rsidR="00567EC5" w:rsidRPr="00A53617" w:rsidRDefault="00567EC5" w:rsidP="00C337BF">
      <w:pPr>
        <w:pStyle w:val="Titre2"/>
        <w:numPr>
          <w:ilvl w:val="0"/>
          <w:numId w:val="0"/>
        </w:numPr>
        <w:spacing w:before="0" w:after="0" w:line="240" w:lineRule="auto"/>
        <w:ind w:right="566"/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</w:pP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Les candidats restent tenus par leurs offres pendant une période de </w:t>
      </w:r>
      <w:r w:rsidRPr="00A53617">
        <w:rPr>
          <w:rFonts w:asciiTheme="majorBidi" w:hAnsiTheme="majorBidi" w:cstheme="majorBidi"/>
          <w:bCs/>
          <w:smallCaps w:val="0"/>
          <w:color w:val="000000" w:themeColor="text1"/>
          <w:sz w:val="24"/>
          <w:szCs w:val="24"/>
        </w:rPr>
        <w:t>Cent Quatre-vingt (180) Jours</w:t>
      </w:r>
      <w:r w:rsidRPr="00A53617">
        <w:rPr>
          <w:rFonts w:asciiTheme="majorBidi" w:hAnsiTheme="majorBidi" w:cstheme="majorBidi"/>
          <w:b w:val="0"/>
          <w:smallCaps w:val="0"/>
          <w:color w:val="000000" w:themeColor="text1"/>
          <w:sz w:val="24"/>
          <w:szCs w:val="24"/>
        </w:rPr>
        <w:t xml:space="preserve"> à compter de la date limite de dépôt des plis.</w:t>
      </w:r>
    </w:p>
    <w:p w:rsidR="0014021D" w:rsidRPr="00A53617" w:rsidRDefault="0014021D" w:rsidP="00C337BF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16"/>
          <w:szCs w:val="16"/>
          <w:lang w:eastAsia="fr-FR"/>
        </w:rPr>
      </w:pPr>
    </w:p>
    <w:p w:rsidR="00BE379A" w:rsidRPr="00A53617" w:rsidRDefault="00BE379A">
      <w:pPr>
        <w:rPr>
          <w:color w:val="000000" w:themeColor="text1"/>
        </w:rPr>
      </w:pPr>
    </w:p>
    <w:sectPr w:rsidR="00BE379A" w:rsidRPr="00A53617" w:rsidSect="0014021D">
      <w:pgSz w:w="11906" w:h="16838"/>
      <w:pgMar w:top="0" w:right="566" w:bottom="0" w:left="709" w:header="709" w:footer="44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B71"/>
    <w:multiLevelType w:val="multilevel"/>
    <w:tmpl w:val="79D2033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itre2"/>
      <w:lvlText w:val="2.3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2%2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515791"/>
    <w:multiLevelType w:val="hybridMultilevel"/>
    <w:tmpl w:val="C7221E8A"/>
    <w:lvl w:ilvl="0" w:tplc="7C2C27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6A7"/>
    <w:multiLevelType w:val="hybridMultilevel"/>
    <w:tmpl w:val="F496E8D0"/>
    <w:lvl w:ilvl="0" w:tplc="1B6C7534">
      <w:start w:val="1"/>
      <w:numFmt w:val="decimal"/>
      <w:lvlText w:val="%1."/>
      <w:lvlJc w:val="left"/>
      <w:pPr>
        <w:ind w:left="2115" w:hanging="716"/>
      </w:pPr>
      <w:rPr>
        <w:rFonts w:asciiTheme="majorBidi" w:hAnsiTheme="majorBidi" w:cstheme="majorBidi" w:hint="default"/>
        <w:w w:val="106"/>
      </w:rPr>
    </w:lvl>
    <w:lvl w:ilvl="1" w:tplc="008A2EF2">
      <w:numFmt w:val="bullet"/>
      <w:lvlText w:val="•"/>
      <w:lvlJc w:val="left"/>
      <w:pPr>
        <w:ind w:left="3058" w:hanging="716"/>
      </w:pPr>
      <w:rPr>
        <w:rFonts w:hint="default"/>
      </w:rPr>
    </w:lvl>
    <w:lvl w:ilvl="2" w:tplc="4D426A48">
      <w:numFmt w:val="bullet"/>
      <w:lvlText w:val="•"/>
      <w:lvlJc w:val="left"/>
      <w:pPr>
        <w:ind w:left="3996" w:hanging="716"/>
      </w:pPr>
      <w:rPr>
        <w:rFonts w:hint="default"/>
      </w:rPr>
    </w:lvl>
    <w:lvl w:ilvl="3" w:tplc="E680755A">
      <w:numFmt w:val="bullet"/>
      <w:lvlText w:val="•"/>
      <w:lvlJc w:val="left"/>
      <w:pPr>
        <w:ind w:left="4935" w:hanging="716"/>
      </w:pPr>
      <w:rPr>
        <w:rFonts w:hint="default"/>
      </w:rPr>
    </w:lvl>
    <w:lvl w:ilvl="4" w:tplc="84648994">
      <w:numFmt w:val="bullet"/>
      <w:lvlText w:val="•"/>
      <w:lvlJc w:val="left"/>
      <w:pPr>
        <w:ind w:left="5873" w:hanging="716"/>
      </w:pPr>
      <w:rPr>
        <w:rFonts w:hint="default"/>
      </w:rPr>
    </w:lvl>
    <w:lvl w:ilvl="5" w:tplc="89E45B86">
      <w:numFmt w:val="bullet"/>
      <w:lvlText w:val="•"/>
      <w:lvlJc w:val="left"/>
      <w:pPr>
        <w:ind w:left="6812" w:hanging="716"/>
      </w:pPr>
      <w:rPr>
        <w:rFonts w:hint="default"/>
      </w:rPr>
    </w:lvl>
    <w:lvl w:ilvl="6" w:tplc="BB4E5916">
      <w:numFmt w:val="bullet"/>
      <w:lvlText w:val="•"/>
      <w:lvlJc w:val="left"/>
      <w:pPr>
        <w:ind w:left="7750" w:hanging="716"/>
      </w:pPr>
      <w:rPr>
        <w:rFonts w:hint="default"/>
      </w:rPr>
    </w:lvl>
    <w:lvl w:ilvl="7" w:tplc="149ACFCC">
      <w:numFmt w:val="bullet"/>
      <w:lvlText w:val="•"/>
      <w:lvlJc w:val="left"/>
      <w:pPr>
        <w:ind w:left="8688" w:hanging="716"/>
      </w:pPr>
      <w:rPr>
        <w:rFonts w:hint="default"/>
      </w:rPr>
    </w:lvl>
    <w:lvl w:ilvl="8" w:tplc="3E28CE36">
      <w:numFmt w:val="bullet"/>
      <w:lvlText w:val="•"/>
      <w:lvlJc w:val="left"/>
      <w:pPr>
        <w:ind w:left="9627" w:hanging="716"/>
      </w:pPr>
      <w:rPr>
        <w:rFonts w:hint="default"/>
      </w:rPr>
    </w:lvl>
  </w:abstractNum>
  <w:abstractNum w:abstractNumId="4" w15:restartNumberingAfterBreak="0">
    <w:nsid w:val="7D8F220B"/>
    <w:multiLevelType w:val="hybridMultilevel"/>
    <w:tmpl w:val="7B82C102"/>
    <w:lvl w:ilvl="0" w:tplc="1312E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21D"/>
    <w:rsid w:val="000717DD"/>
    <w:rsid w:val="0012775C"/>
    <w:rsid w:val="001349B4"/>
    <w:rsid w:val="0014021D"/>
    <w:rsid w:val="00173B8B"/>
    <w:rsid w:val="001F3B3B"/>
    <w:rsid w:val="002018D6"/>
    <w:rsid w:val="00212340"/>
    <w:rsid w:val="00293EFD"/>
    <w:rsid w:val="003010B2"/>
    <w:rsid w:val="00311344"/>
    <w:rsid w:val="00334B54"/>
    <w:rsid w:val="00345544"/>
    <w:rsid w:val="003753AB"/>
    <w:rsid w:val="003E078E"/>
    <w:rsid w:val="003E6EB2"/>
    <w:rsid w:val="0041599B"/>
    <w:rsid w:val="00427EC5"/>
    <w:rsid w:val="00445954"/>
    <w:rsid w:val="004774A4"/>
    <w:rsid w:val="00552541"/>
    <w:rsid w:val="005625BD"/>
    <w:rsid w:val="00567EC5"/>
    <w:rsid w:val="005A3D54"/>
    <w:rsid w:val="005F214D"/>
    <w:rsid w:val="0063513D"/>
    <w:rsid w:val="00635BF4"/>
    <w:rsid w:val="00640A3C"/>
    <w:rsid w:val="00661A74"/>
    <w:rsid w:val="00694348"/>
    <w:rsid w:val="00696743"/>
    <w:rsid w:val="00706BC7"/>
    <w:rsid w:val="00785E77"/>
    <w:rsid w:val="0079293E"/>
    <w:rsid w:val="007E41A5"/>
    <w:rsid w:val="00823B3E"/>
    <w:rsid w:val="00831FB5"/>
    <w:rsid w:val="008C28BA"/>
    <w:rsid w:val="008D3852"/>
    <w:rsid w:val="008E40DE"/>
    <w:rsid w:val="009047AC"/>
    <w:rsid w:val="00910398"/>
    <w:rsid w:val="0092497B"/>
    <w:rsid w:val="009426C5"/>
    <w:rsid w:val="009B625B"/>
    <w:rsid w:val="00A53617"/>
    <w:rsid w:val="00A77F7D"/>
    <w:rsid w:val="00AB1298"/>
    <w:rsid w:val="00AB3CED"/>
    <w:rsid w:val="00B267CD"/>
    <w:rsid w:val="00B40384"/>
    <w:rsid w:val="00B92C73"/>
    <w:rsid w:val="00BB4103"/>
    <w:rsid w:val="00BC476B"/>
    <w:rsid w:val="00BE379A"/>
    <w:rsid w:val="00C337BF"/>
    <w:rsid w:val="00C703E5"/>
    <w:rsid w:val="00CB5E2B"/>
    <w:rsid w:val="00CD1559"/>
    <w:rsid w:val="00CD2B43"/>
    <w:rsid w:val="00D67337"/>
    <w:rsid w:val="00E46E55"/>
    <w:rsid w:val="00E5304D"/>
    <w:rsid w:val="00E56A16"/>
    <w:rsid w:val="00E67837"/>
    <w:rsid w:val="00EB558A"/>
    <w:rsid w:val="00EB79CE"/>
    <w:rsid w:val="00EF4B2A"/>
    <w:rsid w:val="00F11E8F"/>
    <w:rsid w:val="00F15C1B"/>
    <w:rsid w:val="00F25510"/>
    <w:rsid w:val="00F36435"/>
    <w:rsid w:val="00F67535"/>
    <w:rsid w:val="00F757A8"/>
    <w:rsid w:val="00FB248F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36C9-2F70-4E83-9F38-270A6CF4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48"/>
    <w:rPr>
      <w:rFonts w:ascii="Calibri" w:eastAsia="Calibri" w:hAnsi="Calibri" w:cs="Arial"/>
    </w:rPr>
  </w:style>
  <w:style w:type="paragraph" w:styleId="Titre1">
    <w:name w:val="heading 1"/>
    <w:aliases w:val="H1,ITT t1,PA Chapter,Title1"/>
    <w:link w:val="Titre1Car"/>
    <w:qFormat/>
    <w:rsid w:val="0014021D"/>
    <w:pPr>
      <w:keepNext/>
      <w:keepLines/>
      <w:numPr>
        <w:numId w:val="1"/>
      </w:numPr>
      <w:spacing w:before="640" w:after="100" w:line="220" w:lineRule="exact"/>
      <w:jc w:val="both"/>
      <w:outlineLvl w:val="0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itre2">
    <w:name w:val="heading 2"/>
    <w:aliases w:val="H2,Title2"/>
    <w:link w:val="Titre2Car"/>
    <w:qFormat/>
    <w:rsid w:val="0014021D"/>
    <w:pPr>
      <w:keepNext/>
      <w:keepLines/>
      <w:numPr>
        <w:ilvl w:val="1"/>
        <w:numId w:val="1"/>
      </w:numPr>
      <w:spacing w:before="480" w:after="80" w:line="220" w:lineRule="exact"/>
      <w:jc w:val="both"/>
      <w:outlineLvl w:val="1"/>
    </w:pPr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paragraph" w:styleId="Titre3">
    <w:name w:val="heading 3"/>
    <w:aliases w:val="Title3"/>
    <w:link w:val="Titre3Car"/>
    <w:qFormat/>
    <w:rsid w:val="0014021D"/>
    <w:pPr>
      <w:keepNext/>
      <w:keepLines/>
      <w:numPr>
        <w:ilvl w:val="2"/>
        <w:numId w:val="1"/>
      </w:numPr>
      <w:spacing w:before="360" w:after="60" w:line="220" w:lineRule="exact"/>
      <w:jc w:val="both"/>
      <w:outlineLvl w:val="2"/>
    </w:pPr>
    <w:rPr>
      <w:rFonts w:ascii="zapf humanist" w:eastAsia="Times New Roman" w:hAnsi="zapf humanist" w:cs="Times New Roman"/>
      <w:b/>
      <w:sz w:val="20"/>
      <w:szCs w:val="20"/>
      <w:lang w:eastAsia="fr-FR"/>
    </w:rPr>
  </w:style>
  <w:style w:type="paragraph" w:styleId="Titre4">
    <w:name w:val="heading 4"/>
    <w:link w:val="Titre4Car"/>
    <w:qFormat/>
    <w:rsid w:val="0014021D"/>
    <w:pPr>
      <w:keepNext/>
      <w:keepLines/>
      <w:numPr>
        <w:ilvl w:val="3"/>
        <w:numId w:val="1"/>
      </w:numPr>
      <w:spacing w:before="300" w:after="40" w:line="220" w:lineRule="exact"/>
      <w:jc w:val="both"/>
      <w:outlineLvl w:val="3"/>
    </w:pPr>
    <w:rPr>
      <w:rFonts w:ascii="zapf humanist" w:eastAsia="Times New Roman" w:hAnsi="zapf humanist" w:cs="Times New Roman"/>
      <w:smallCaps/>
      <w:sz w:val="20"/>
      <w:szCs w:val="20"/>
      <w:lang w:eastAsia="fr-FR"/>
    </w:rPr>
  </w:style>
  <w:style w:type="paragraph" w:styleId="Titre5">
    <w:name w:val="heading 5"/>
    <w:aliases w:val="H5"/>
    <w:link w:val="Titre5Car"/>
    <w:qFormat/>
    <w:rsid w:val="0014021D"/>
    <w:pPr>
      <w:keepNext/>
      <w:keepLines/>
      <w:numPr>
        <w:ilvl w:val="4"/>
        <w:numId w:val="1"/>
      </w:numPr>
      <w:tabs>
        <w:tab w:val="left" w:pos="907"/>
      </w:tabs>
      <w:spacing w:before="260" w:after="40" w:line="220" w:lineRule="exact"/>
      <w:jc w:val="both"/>
      <w:outlineLvl w:val="4"/>
    </w:pPr>
    <w:rPr>
      <w:rFonts w:ascii="zapf humanist" w:eastAsia="Times New Roman" w:hAnsi="zapf humanist" w:cs="Times New Roman"/>
      <w:sz w:val="20"/>
      <w:szCs w:val="20"/>
      <w:lang w:eastAsia="fr-FR"/>
    </w:rPr>
  </w:style>
  <w:style w:type="paragraph" w:styleId="Titre6">
    <w:name w:val="heading 6"/>
    <w:aliases w:val="H6"/>
    <w:link w:val="Titre6Car"/>
    <w:qFormat/>
    <w:rsid w:val="0014021D"/>
    <w:pPr>
      <w:keepNext/>
      <w:keepLines/>
      <w:numPr>
        <w:ilvl w:val="5"/>
        <w:numId w:val="1"/>
      </w:numPr>
      <w:tabs>
        <w:tab w:val="left" w:pos="1021"/>
      </w:tabs>
      <w:spacing w:before="240" w:after="20" w:line="220" w:lineRule="exact"/>
      <w:jc w:val="both"/>
      <w:outlineLvl w:val="5"/>
    </w:pPr>
    <w:rPr>
      <w:rFonts w:ascii="zapf humanist" w:eastAsia="Times New Roman" w:hAnsi="zapf humanist" w:cs="Times New Roman"/>
      <w:i/>
      <w:sz w:val="20"/>
      <w:szCs w:val="20"/>
      <w:lang w:eastAsia="fr-FR"/>
    </w:rPr>
  </w:style>
  <w:style w:type="paragraph" w:styleId="Titre7">
    <w:name w:val="heading 7"/>
    <w:link w:val="Titre7Car"/>
    <w:qFormat/>
    <w:rsid w:val="0014021D"/>
    <w:pPr>
      <w:numPr>
        <w:ilvl w:val="6"/>
        <w:numId w:val="1"/>
      </w:numPr>
      <w:spacing w:after="600" w:line="220" w:lineRule="exact"/>
      <w:jc w:val="center"/>
      <w:outlineLvl w:val="6"/>
    </w:pPr>
    <w:rPr>
      <w:rFonts w:ascii="zapf humanist" w:eastAsia="Times New Roman" w:hAnsi="zapf humanist" w:cs="Times New Roman"/>
      <w:b/>
      <w:caps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14021D"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14021D"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ITT t1 Car,PA Chapter Car,Title1 Car"/>
    <w:basedOn w:val="Policepardfaut"/>
    <w:link w:val="Titre1"/>
    <w:rsid w:val="0014021D"/>
    <w:rPr>
      <w:rFonts w:ascii="Arial" w:eastAsia="Times New Roman" w:hAnsi="Arial" w:cs="Times New Roman"/>
      <w:b/>
      <w:caps/>
      <w:sz w:val="24"/>
      <w:szCs w:val="20"/>
      <w:lang w:eastAsia="fr-FR"/>
    </w:rPr>
  </w:style>
  <w:style w:type="character" w:customStyle="1" w:styleId="Titre2Car">
    <w:name w:val="Titre 2 Car"/>
    <w:aliases w:val="H2 Car,Title2 Car"/>
    <w:basedOn w:val="Policepardfaut"/>
    <w:link w:val="Titre2"/>
    <w:rsid w:val="0014021D"/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character" w:customStyle="1" w:styleId="Titre3Car">
    <w:name w:val="Titre 3 Car"/>
    <w:aliases w:val="Title3 Car"/>
    <w:basedOn w:val="Policepardfaut"/>
    <w:link w:val="Titre3"/>
    <w:rsid w:val="0014021D"/>
    <w:rPr>
      <w:rFonts w:ascii="zapf humanist" w:eastAsia="Times New Roman" w:hAnsi="zapf humanist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4021D"/>
    <w:rPr>
      <w:rFonts w:ascii="zapf humanist" w:eastAsia="Times New Roman" w:hAnsi="zapf humanist" w:cs="Times New Roman"/>
      <w:smallCaps/>
      <w:sz w:val="20"/>
      <w:szCs w:val="20"/>
      <w:lang w:eastAsia="fr-FR"/>
    </w:rPr>
  </w:style>
  <w:style w:type="character" w:customStyle="1" w:styleId="Titre5Car">
    <w:name w:val="Titre 5 Car"/>
    <w:aliases w:val="H5 Car"/>
    <w:basedOn w:val="Policepardfaut"/>
    <w:link w:val="Titre5"/>
    <w:rsid w:val="0014021D"/>
    <w:rPr>
      <w:rFonts w:ascii="zapf humanist" w:eastAsia="Times New Roman" w:hAnsi="zapf humanist" w:cs="Times New Roman"/>
      <w:sz w:val="20"/>
      <w:szCs w:val="20"/>
      <w:lang w:eastAsia="fr-FR"/>
    </w:rPr>
  </w:style>
  <w:style w:type="character" w:customStyle="1" w:styleId="Titre6Car">
    <w:name w:val="Titre 6 Car"/>
    <w:aliases w:val="H6 Car"/>
    <w:basedOn w:val="Policepardfaut"/>
    <w:link w:val="Titre6"/>
    <w:rsid w:val="0014021D"/>
    <w:rPr>
      <w:rFonts w:ascii="zapf humanist" w:eastAsia="Times New Roman" w:hAnsi="zapf humanist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4021D"/>
    <w:rPr>
      <w:rFonts w:ascii="zapf humanist" w:eastAsia="Times New Roman" w:hAnsi="zapf humanist" w:cs="Times New Roman"/>
      <w:b/>
      <w:cap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14021D"/>
    <w:rPr>
      <w:rFonts w:ascii="Arial" w:eastAsia="Times New Roman" w:hAnsi="Arial" w:cs="Times New Roman"/>
      <w:i/>
      <w:sz w:val="20"/>
      <w:szCs w:val="20"/>
    </w:rPr>
  </w:style>
  <w:style w:type="character" w:customStyle="1" w:styleId="Titre9Car">
    <w:name w:val="Titre 9 Car"/>
    <w:basedOn w:val="Policepardfaut"/>
    <w:link w:val="Titre9"/>
    <w:rsid w:val="0014021D"/>
    <w:rPr>
      <w:rFonts w:ascii="Arial" w:eastAsia="Times New Roman" w:hAnsi="Arial" w:cs="Times New Roman"/>
      <w:b/>
      <w:i/>
      <w:sz w:val="18"/>
      <w:szCs w:val="20"/>
    </w:rPr>
  </w:style>
  <w:style w:type="paragraph" w:styleId="Sous-titre">
    <w:name w:val="Subtitle"/>
    <w:basedOn w:val="Normal"/>
    <w:link w:val="Sous-titreCar"/>
    <w:qFormat/>
    <w:rsid w:val="0014021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4021D"/>
    <w:rPr>
      <w:rFonts w:ascii="Arial" w:eastAsia="Times New Roman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21D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4774A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F25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25510"/>
    <w:rPr>
      <w:rFonts w:ascii="Times New Roman" w:eastAsia="Times New Roman" w:hAnsi="Times New Roman" w:cs="Times New Roman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2775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user</cp:lastModifiedBy>
  <cp:revision>4</cp:revision>
  <cp:lastPrinted>2019-05-12T07:17:00Z</cp:lastPrinted>
  <dcterms:created xsi:type="dcterms:W3CDTF">2020-02-27T08:38:00Z</dcterms:created>
  <dcterms:modified xsi:type="dcterms:W3CDTF">2020-02-27T09:19:00Z</dcterms:modified>
</cp:coreProperties>
</file>