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09" w:rsidRPr="00A46D11" w:rsidRDefault="00707D09" w:rsidP="00D52BD4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</w:pPr>
      <w:bookmarkStart w:id="0" w:name="_GoBack"/>
      <w:r w:rsidRPr="00A46D11">
        <w:rPr>
          <w:rFonts w:asciiTheme="majorBidi" w:eastAsia="Times New Roman" w:hAnsiTheme="majorBidi" w:cstheme="majorBidi"/>
          <w:bCs/>
          <w:smallCap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-682597</wp:posOffset>
            </wp:positionH>
            <wp:positionV relativeFrom="paragraph">
              <wp:posOffset>-545161</wp:posOffset>
            </wp:positionV>
            <wp:extent cx="1418562" cy="659958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62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 xml:space="preserve">Epe - </w:t>
      </w: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  <w:lang w:bidi="ar-DZ"/>
        </w:rPr>
        <w:t>Algérie</w:t>
      </w: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 xml:space="preserve"> télécom </w:t>
      </w:r>
      <w:r w:rsidR="00D52BD4"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>-</w:t>
      </w: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 xml:space="preserve"> spa  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>direction générale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smallCaps/>
          <w:color w:val="000000" w:themeColor="text1"/>
          <w:sz w:val="24"/>
          <w:szCs w:val="24"/>
        </w:rPr>
        <w:t>NIF: 000216001808337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 xml:space="preserve">direction </w:t>
      </w:r>
      <w:proofErr w:type="spellStart"/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>operationnelle</w:t>
      </w:r>
      <w:proofErr w:type="spellEnd"/>
      <w:r w:rsidR="00D52BD4"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 xml:space="preserve"> </w:t>
      </w:r>
      <w:r w:rsidRPr="00A46D11">
        <w:rPr>
          <w:rFonts w:asciiTheme="majorBidi" w:eastAsia="Times New Roman" w:hAnsiTheme="majorBidi" w:cstheme="majorBidi"/>
          <w:bCs/>
          <w:smallCaps/>
          <w:color w:val="000000" w:themeColor="text1"/>
          <w:sz w:val="24"/>
          <w:szCs w:val="24"/>
        </w:rPr>
        <w:t>de Batna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avis DE CONSULTATION (RELANCE)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n</w:t>
      </w: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°</w:t>
      </w: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0</w:t>
      </w: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41/2019</w:t>
      </w:r>
    </w:p>
    <w:p w:rsidR="00D52BD4" w:rsidRPr="00A46D11" w:rsidRDefault="00D52BD4" w:rsidP="00707D09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La Direction Opérationnelle de Batna lance un Avis de consultation pour :</w:t>
      </w:r>
      <w:r w:rsidR="00E81F8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A46D11">
        <w:rPr>
          <w:rFonts w:asciiTheme="majorBidi" w:hAnsiTheme="majorBidi" w:cstheme="majorBidi"/>
          <w:b/>
          <w:color w:val="000000" w:themeColor="text1"/>
          <w:sz w:val="24"/>
          <w:szCs w:val="24"/>
        </w:rPr>
        <w:t>TRAVAUX DE CANALISATION CITE AADL HAMLA3 BATNA</w:t>
      </w:r>
    </w:p>
    <w:p w:rsidR="00707D09" w:rsidRPr="00A46D11" w:rsidRDefault="00707D09" w:rsidP="00707D09">
      <w:pPr>
        <w:ind w:right="-284"/>
        <w:jc w:val="both"/>
        <w:rPr>
          <w:rFonts w:asciiTheme="majorBidi" w:eastAsia="GungsuhChe" w:hAnsiTheme="majorBidi" w:cstheme="majorBidi"/>
          <w:bCs/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073"/>
        <w:gridCol w:w="3402"/>
      </w:tblGrid>
      <w:tr w:rsidR="00A46D11" w:rsidRPr="00A46D11" w:rsidTr="00696AE4">
        <w:trPr>
          <w:trHeight w:val="711"/>
        </w:trPr>
        <w:tc>
          <w:tcPr>
            <w:tcW w:w="1307" w:type="dxa"/>
            <w:shd w:val="clear" w:color="auto" w:fill="E6E6E6"/>
            <w:vAlign w:val="center"/>
          </w:tcPr>
          <w:p w:rsidR="00707D09" w:rsidRPr="00A46D11" w:rsidRDefault="00707D09" w:rsidP="00696AE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Lots N°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07D09" w:rsidRPr="00A46D11" w:rsidRDefault="00707D09" w:rsidP="00696AE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Désignation </w:t>
            </w:r>
          </w:p>
        </w:tc>
        <w:tc>
          <w:tcPr>
            <w:tcW w:w="3402" w:type="dxa"/>
            <w:shd w:val="clear" w:color="auto" w:fill="E6E6E6"/>
          </w:tcPr>
          <w:p w:rsidR="00707D09" w:rsidRPr="00A46D11" w:rsidRDefault="00707D09" w:rsidP="00696AE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DISTANCE</w:t>
            </w:r>
          </w:p>
        </w:tc>
      </w:tr>
      <w:tr w:rsidR="00707D09" w:rsidRPr="00A46D11" w:rsidTr="00696AE4">
        <w:trPr>
          <w:trHeight w:hRule="exact" w:val="906"/>
        </w:trPr>
        <w:tc>
          <w:tcPr>
            <w:tcW w:w="1307" w:type="dxa"/>
          </w:tcPr>
          <w:p w:rsidR="00707D09" w:rsidRPr="00A46D11" w:rsidRDefault="00707D09" w:rsidP="00696A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Lots N° 1</w:t>
            </w:r>
          </w:p>
        </w:tc>
        <w:tc>
          <w:tcPr>
            <w:tcW w:w="5073" w:type="dxa"/>
            <w:tcBorders>
              <w:right w:val="single" w:sz="4" w:space="0" w:color="auto"/>
            </w:tcBorders>
          </w:tcPr>
          <w:p w:rsidR="00707D09" w:rsidRPr="00A46D11" w:rsidRDefault="00707D09" w:rsidP="00696A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Création canalisation cité AADL Hamla3 BATNA </w:t>
            </w: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</w:p>
          <w:p w:rsidR="00707D09" w:rsidRPr="00A46D11" w:rsidRDefault="00707D09" w:rsidP="00696A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</w:tcPr>
          <w:p w:rsidR="00707D09" w:rsidRPr="00A46D11" w:rsidRDefault="00707D09" w:rsidP="00696A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0.513 KM/ARTERE</w:t>
            </w:r>
          </w:p>
          <w:p w:rsidR="00707D09" w:rsidRPr="00A46D11" w:rsidRDefault="00707D09" w:rsidP="00696A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1.868  </w:t>
            </w:r>
            <w:proofErr w:type="spellStart"/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fourreaux</w:t>
            </w:r>
            <w:proofErr w:type="spellEnd"/>
            <w:r w:rsidRPr="00A46D1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PEHD</w:t>
            </w:r>
          </w:p>
        </w:tc>
      </w:tr>
    </w:tbl>
    <w:p w:rsidR="00707D09" w:rsidRPr="00A46D11" w:rsidRDefault="00707D09" w:rsidP="00707D0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707D09" w:rsidRPr="00A46D11" w:rsidRDefault="00707D09" w:rsidP="00707D0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présent Avis 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 consultation s’adresse au : </w:t>
      </w:r>
    </w:p>
    <w:p w:rsidR="00707D09" w:rsidRPr="00A46D11" w:rsidRDefault="00707D09" w:rsidP="00707D09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</w:pPr>
      <w:r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Pour les LOTS dont la distance est inferieur</w:t>
      </w:r>
      <w:r w:rsidR="00E81F87"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e</w:t>
      </w:r>
      <w:r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 ou égale à 600 mètres linéaires artère ; </w:t>
      </w:r>
      <w:r w:rsidRPr="00A46D11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 xml:space="preserve">aucune qualification n’est </w:t>
      </w:r>
      <w:r w:rsidR="005F1567" w:rsidRPr="00A46D11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>exigée</w:t>
      </w:r>
      <w:r w:rsidRPr="00A46D11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 xml:space="preserve"> pour ces lots. </w:t>
      </w:r>
    </w:p>
    <w:p w:rsidR="00707D09" w:rsidRPr="00A46D11" w:rsidRDefault="00707D09" w:rsidP="00707D09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707D09" w:rsidRPr="00A46D11" w:rsidRDefault="00707D09" w:rsidP="00E81F8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Les entreprises intéressées peuvent retirer le cahier des charges Contre paiement d’une somme non remboursable de Mille DA (1000</w:t>
      </w:r>
      <w:r w:rsidR="00E81F87"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A46D1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DA) auprès de la Direction Opérationnelle de Batna à l’adresse ci-après :</w:t>
      </w:r>
    </w:p>
    <w:p w:rsidR="00E81F87" w:rsidRPr="00A46D11" w:rsidRDefault="00E81F87" w:rsidP="00E81F8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</w:p>
    <w:p w:rsidR="00707D09" w:rsidRPr="00A46D11" w:rsidRDefault="00707D09" w:rsidP="00707D09">
      <w:pPr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direction operationnelle de Batna</w:t>
      </w:r>
    </w:p>
    <w:p w:rsidR="00707D09" w:rsidRPr="00A46D11" w:rsidRDefault="00707D09" w:rsidP="00707D09">
      <w:pPr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Zone Industrielle </w:t>
      </w:r>
      <w:proofErr w:type="spellStart"/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Kechida</w:t>
      </w:r>
      <w:proofErr w:type="spellEnd"/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 Batna</w:t>
      </w:r>
    </w:p>
    <w:p w:rsidR="00707D09" w:rsidRPr="00A46D11" w:rsidRDefault="00707D09" w:rsidP="00707D09">
      <w:pPr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BUREAU DES CAHIER DES CAHRGES 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Les offres doivent être composées :</w:t>
      </w:r>
    </w:p>
    <w:p w:rsidR="00707D09" w:rsidRPr="00A46D11" w:rsidRDefault="00707D09" w:rsidP="00707D09">
      <w:pPr>
        <w:pStyle w:val="Paragraphedeliste"/>
        <w:numPr>
          <w:ilvl w:val="0"/>
          <w:numId w:val="1"/>
        </w:num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D’une offre technique insérée dans une enveloppe fermée ne comportant que la mention </w:t>
      </w:r>
      <w:r w:rsidRPr="00A46D11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« Offre Technique ».</w:t>
      </w:r>
    </w:p>
    <w:p w:rsidR="00707D09" w:rsidRPr="00A46D11" w:rsidRDefault="00707D09" w:rsidP="00707D09">
      <w:pPr>
        <w:pStyle w:val="Paragraphedeliste"/>
        <w:numPr>
          <w:ilvl w:val="0"/>
          <w:numId w:val="1"/>
        </w:num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D’une offre financière insérée dans une enveloppe fermée ne comportant que la mention </w:t>
      </w:r>
      <w:r w:rsidRPr="00A46D11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« Offre Financière ».</w:t>
      </w:r>
    </w:p>
    <w:p w:rsidR="00E81F87" w:rsidRPr="00A46D11" w:rsidRDefault="00E81F87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Ces Deux (02) enveloppes seront placées dans une enveloppe principale qui devra être anonyme, et ne devra porter que la mention suivante :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AVIS DE CONSULTATION N°041/2019</w:t>
      </w:r>
    </w:p>
    <w:p w:rsidR="00707D09" w:rsidRPr="00A46D11" w:rsidRDefault="00707D09" w:rsidP="00707D09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TRAVAUX DE CANALISATION URBAINES</w:t>
      </w:r>
      <w:r w:rsidRPr="00A46D1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Adresse :</w:t>
      </w:r>
      <w:r w:rsidR="00E81F87"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 </w:t>
      </w: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ZONE INDUSTRIELLE KECHIDA BATNA</w:t>
      </w:r>
    </w:p>
    <w:p w:rsidR="00707D09" w:rsidRPr="00A46D11" w:rsidRDefault="00707D09" w:rsidP="00E81F87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« A </w:t>
      </w:r>
      <w:r w:rsidR="00E81F87" w:rsidRPr="00A46D11">
        <w:rPr>
          <w:rFonts w:asciiTheme="majorBidi" w:eastAsia="Times New Roman" w:hAnsiTheme="majorBidi" w:cstheme="majorBidi"/>
          <w:b/>
          <w:smallCaps/>
          <w:color w:val="000000" w:themeColor="text1"/>
          <w:sz w:val="24"/>
          <w:szCs w:val="24"/>
        </w:rPr>
        <w:t xml:space="preserve">n’ouvrir  </w:t>
      </w: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Que Par La Commission D’ouverture</w:t>
      </w:r>
    </w:p>
    <w:p w:rsidR="00707D09" w:rsidRPr="00A46D11" w:rsidRDefault="00707D09" w:rsidP="00E81F87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 Des Plis Et </w:t>
      </w:r>
      <w:r w:rsidR="00E81F87" w:rsidRPr="00A46D11">
        <w:rPr>
          <w:rFonts w:asciiTheme="majorBidi" w:eastAsia="Times New Roman" w:hAnsiTheme="majorBidi" w:cstheme="majorBidi"/>
          <w:b/>
          <w:smallCaps/>
          <w:color w:val="000000" w:themeColor="text1"/>
          <w:sz w:val="24"/>
          <w:szCs w:val="24"/>
        </w:rPr>
        <w:t xml:space="preserve">d’évaluation </w:t>
      </w:r>
      <w:r w:rsidRPr="00A46D11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Des Offres»</w:t>
      </w:r>
    </w:p>
    <w:p w:rsidR="00707D09" w:rsidRPr="00A46D11" w:rsidRDefault="00707D09" w:rsidP="00707D09">
      <w:pPr>
        <w:tabs>
          <w:tab w:val="left" w:pos="6270"/>
          <w:tab w:val="left" w:pos="6555"/>
        </w:tabs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</w:pPr>
    </w:p>
    <w:p w:rsidR="00707D09" w:rsidRPr="00A46D11" w:rsidRDefault="00E81F87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Les </w:t>
      </w:r>
      <w:r w:rsidR="00707D09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soumissionnaires devront obligatoirement </w:t>
      </w:r>
      <w:r w:rsidR="00C5013C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fournir</w:t>
      </w:r>
      <w:r w:rsidR="00707D09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l’ensemble des </w:t>
      </w:r>
      <w:r w:rsidR="005F156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pièces</w:t>
      </w:r>
      <w:r w:rsidR="00707D09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citées dans le cahier des charges</w:t>
      </w:r>
    </w:p>
    <w:p w:rsidR="00707D09" w:rsidRPr="00A46D11" w:rsidRDefault="00707D09" w:rsidP="00E81F87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La date limite de dépôt des offres est </w:t>
      </w:r>
      <w:r w:rsidR="00E81F8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fixée 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</w:t>
      </w:r>
      <w:r w:rsidRPr="00A46D11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sept (07) jour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à partir de la </w:t>
      </w:r>
      <w:r w:rsidR="005F156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première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date de parution du présent avis de consultation sur le site web </w:t>
      </w:r>
      <w:r w:rsidR="00E81F87"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d’Algérie Télécom  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 08h00 </w:t>
      </w:r>
      <w:r w:rsidR="00E81F8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à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14h00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>Si ce jour coïncide avec  un jour férié ou un jour de repos légal, la durée de préparation des offres est prorogée jusqu’au jour ouvrable suivant.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Les soumissionnaires</w:t>
      </w:r>
      <w:r w:rsidR="00E81F87"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resteront engagés par leurs offres pendant une durée de </w:t>
      </w: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Cent quatre Vingt (180)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jours à compter de la date limite de dépôt des offres.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L’ouverture des plis des offres techniques et financières se fera le même jour que la date limite de remise des offres à </w:t>
      </w:r>
      <w:r w:rsidRPr="00A46D1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14h00</w:t>
      </w: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à l’adresse précitée.</w:t>
      </w:r>
    </w:p>
    <w:p w:rsidR="00707D09" w:rsidRPr="00A46D11" w:rsidRDefault="00707D09" w:rsidP="00707D09">
      <w:pPr>
        <w:spacing w:after="0" w:line="240" w:lineRule="auto"/>
        <w:ind w:left="-284" w:right="-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46D1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Cet avis est considéré comme invitation à toutes les entreprises soumissionnaires pour assister à l’ouverture publique des plis.</w:t>
      </w:r>
    </w:p>
    <w:bookmarkEnd w:id="0"/>
    <w:p w:rsidR="00A837C0" w:rsidRPr="00A46D11" w:rsidRDefault="00A837C0">
      <w:pPr>
        <w:rPr>
          <w:color w:val="000000" w:themeColor="text1"/>
        </w:rPr>
      </w:pPr>
    </w:p>
    <w:sectPr w:rsidR="00A837C0" w:rsidRPr="00A46D11" w:rsidSect="00707D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84C14"/>
    <w:multiLevelType w:val="hybridMultilevel"/>
    <w:tmpl w:val="C6705B00"/>
    <w:lvl w:ilvl="0" w:tplc="A3E626F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D09"/>
    <w:rsid w:val="0017018C"/>
    <w:rsid w:val="0022116F"/>
    <w:rsid w:val="00271E58"/>
    <w:rsid w:val="002B7C2D"/>
    <w:rsid w:val="003530AB"/>
    <w:rsid w:val="00484730"/>
    <w:rsid w:val="005F1567"/>
    <w:rsid w:val="006862FB"/>
    <w:rsid w:val="00707D09"/>
    <w:rsid w:val="00746258"/>
    <w:rsid w:val="00936515"/>
    <w:rsid w:val="00952C06"/>
    <w:rsid w:val="00956677"/>
    <w:rsid w:val="00A46D11"/>
    <w:rsid w:val="00A837C0"/>
    <w:rsid w:val="00C5013C"/>
    <w:rsid w:val="00D52BD4"/>
    <w:rsid w:val="00D63E25"/>
    <w:rsid w:val="00D7188F"/>
    <w:rsid w:val="00DA04CD"/>
    <w:rsid w:val="00E3690C"/>
    <w:rsid w:val="00E81F87"/>
    <w:rsid w:val="00E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F929-47EB-4834-BD63-22485A7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0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707D09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locked/>
    <w:rsid w:val="00707D09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D0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 ACHAT</dc:creator>
  <cp:lastModifiedBy>MOHAMED YESSAAD</cp:lastModifiedBy>
  <cp:revision>4</cp:revision>
  <dcterms:created xsi:type="dcterms:W3CDTF">2019-09-12T09:23:00Z</dcterms:created>
  <dcterms:modified xsi:type="dcterms:W3CDTF">2019-09-12T09:38:00Z</dcterms:modified>
</cp:coreProperties>
</file>