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0A8" w:rsidRPr="00FB10AC" w:rsidRDefault="00027F70" w:rsidP="00D210A8">
      <w:pPr>
        <w:tabs>
          <w:tab w:val="left" w:pos="4060"/>
        </w:tabs>
        <w:jc w:val="center"/>
        <w:rPr>
          <w:rFonts w:ascii="Palatino Linotype" w:hAnsi="Palatino Linotype" w:cs="Tahoma"/>
          <w:b/>
          <w:bCs/>
        </w:rPr>
      </w:pPr>
      <w:r w:rsidRPr="00027F70">
        <w:rPr>
          <w:rFonts w:ascii="Palatino Linotype" w:hAnsi="Palatino Linotype" w:cs="Tahoma"/>
          <w:b/>
          <w:bCs/>
        </w:rPr>
        <w:t>DIRECTION OPÉRATIONNELLE DE TLEMCEN</w:t>
      </w:r>
      <w:r w:rsidR="00D210A8" w:rsidRPr="00FB10AC">
        <w:rPr>
          <w:rFonts w:ascii="Palatino Linotype" w:hAnsi="Palatino Linotype" w:cs="Tahoma"/>
          <w:b/>
          <w:bCs/>
        </w:rPr>
        <w:t xml:space="preserve"> </w:t>
      </w:r>
    </w:p>
    <w:p w:rsidR="00D210A8" w:rsidRPr="00FB10AC" w:rsidRDefault="00027F70" w:rsidP="00D210A8">
      <w:pPr>
        <w:tabs>
          <w:tab w:val="left" w:pos="4060"/>
        </w:tabs>
        <w:jc w:val="center"/>
        <w:rPr>
          <w:rFonts w:ascii="Palatino Linotype" w:hAnsi="Palatino Linotype" w:cs="Tahoma"/>
          <w:b/>
          <w:bCs/>
        </w:rPr>
      </w:pPr>
      <w:r w:rsidRPr="00027F70">
        <w:rPr>
          <w:rFonts w:ascii="Palatino Linotype" w:hAnsi="Palatino Linotype" w:cs="Tahoma"/>
          <w:b/>
          <w:bCs/>
        </w:rPr>
        <w:t>SOUS DIRECTION FONCTIONS SUPPORT</w:t>
      </w:r>
    </w:p>
    <w:p w:rsidR="005A79AC" w:rsidRPr="00FB10AC" w:rsidRDefault="00027F70" w:rsidP="00D210A8">
      <w:pPr>
        <w:pStyle w:val="En-tte"/>
        <w:jc w:val="center"/>
        <w:rPr>
          <w:rFonts w:ascii="Palatino Linotype" w:hAnsi="Palatino Linotype" w:cs="Tahoma"/>
          <w:b/>
          <w:bCs/>
        </w:rPr>
      </w:pPr>
      <w:r w:rsidRPr="00027F70">
        <w:rPr>
          <w:rFonts w:ascii="Palatino Linotype" w:hAnsi="Palatino Linotype" w:cs="Tahoma"/>
          <w:b/>
          <w:bCs/>
        </w:rPr>
        <w:t>DÉPARTEMENT ACHAT</w:t>
      </w:r>
      <w:r w:rsidR="00AB3050">
        <w:rPr>
          <w:rFonts w:ascii="Palatino Linotype" w:hAnsi="Palatino Linotype" w:cs="Tahoma"/>
          <w:b/>
          <w:bCs/>
        </w:rPr>
        <w:t>S</w:t>
      </w:r>
      <w:r w:rsidRPr="00027F70">
        <w:rPr>
          <w:rFonts w:ascii="Palatino Linotype" w:hAnsi="Palatino Linotype" w:cs="Tahoma"/>
          <w:b/>
          <w:bCs/>
        </w:rPr>
        <w:t xml:space="preserve"> ET LOGISTIQUE</w:t>
      </w:r>
    </w:p>
    <w:p w:rsidR="00A339F6" w:rsidRPr="00FB10AC" w:rsidRDefault="005A79AC" w:rsidP="007C412F">
      <w:pPr>
        <w:tabs>
          <w:tab w:val="left" w:pos="4060"/>
        </w:tabs>
        <w:jc w:val="center"/>
        <w:rPr>
          <w:rFonts w:ascii="Palatino Linotype" w:hAnsi="Palatino Linotype" w:cs="Tahoma"/>
          <w:b/>
          <w:bCs/>
        </w:rPr>
      </w:pPr>
      <w:r w:rsidRPr="00FB10AC">
        <w:rPr>
          <w:rFonts w:ascii="Palatino Linotype" w:hAnsi="Palatino Linotype" w:cs="Tahoma"/>
          <w:b/>
          <w:bCs/>
        </w:rPr>
        <w:t>AVIS DE CONSULTATION NATIONAL</w:t>
      </w:r>
      <w:r w:rsidR="00437956" w:rsidRPr="00FB10AC">
        <w:rPr>
          <w:rFonts w:ascii="Palatino Linotype" w:hAnsi="Palatino Linotype" w:cs="Tahoma"/>
          <w:b/>
          <w:bCs/>
        </w:rPr>
        <w:t>E</w:t>
      </w:r>
      <w:r w:rsidRPr="00FB10AC">
        <w:rPr>
          <w:rFonts w:ascii="Palatino Linotype" w:hAnsi="Palatino Linotype" w:cs="Tahoma"/>
          <w:b/>
          <w:bCs/>
        </w:rPr>
        <w:t xml:space="preserve"> </w:t>
      </w:r>
    </w:p>
    <w:p w:rsidR="00120386" w:rsidRPr="00FB10AC" w:rsidRDefault="00E26B90" w:rsidP="00F575C7">
      <w:pPr>
        <w:tabs>
          <w:tab w:val="left" w:pos="4060"/>
        </w:tabs>
        <w:jc w:val="center"/>
        <w:rPr>
          <w:rFonts w:ascii="Palatino Linotype" w:hAnsi="Palatino Linotype" w:cs="Tahoma"/>
          <w:b/>
          <w:bCs/>
          <w:lang w:val="en-ZA"/>
        </w:rPr>
      </w:pPr>
      <w:r w:rsidRPr="00FB10AC">
        <w:rPr>
          <w:rFonts w:ascii="Palatino Linotype" w:hAnsi="Palatino Linotype" w:cs="Tahoma"/>
          <w:b/>
          <w:bCs/>
          <w:lang w:val="en-ZA"/>
        </w:rPr>
        <w:t>N°</w:t>
      </w:r>
      <w:r w:rsidR="008D2BDA">
        <w:rPr>
          <w:rFonts w:ascii="Palatino Linotype" w:hAnsi="Palatino Linotype" w:cs="Tahoma"/>
          <w:b/>
          <w:bCs/>
          <w:lang w:val="en-ZA"/>
        </w:rPr>
        <w:t>1</w:t>
      </w:r>
      <w:r w:rsidR="00F575C7">
        <w:rPr>
          <w:rFonts w:ascii="Palatino Linotype" w:hAnsi="Palatino Linotype" w:cs="Tahoma"/>
          <w:b/>
          <w:bCs/>
          <w:lang w:val="en-ZA"/>
        </w:rPr>
        <w:t>7</w:t>
      </w:r>
      <w:r w:rsidR="005A79AC" w:rsidRPr="00FB10AC">
        <w:rPr>
          <w:rFonts w:ascii="Palatino Linotype" w:hAnsi="Palatino Linotype" w:cs="Tahoma"/>
          <w:b/>
          <w:bCs/>
          <w:lang w:val="en-ZA"/>
        </w:rPr>
        <w:t>/AT/</w:t>
      </w:r>
      <w:r w:rsidR="00194A2A" w:rsidRPr="00FB10AC">
        <w:rPr>
          <w:rFonts w:ascii="Palatino Linotype" w:hAnsi="Palatino Linotype" w:cs="Tahoma"/>
          <w:b/>
          <w:bCs/>
          <w:lang w:val="en-ZA"/>
        </w:rPr>
        <w:t>D</w:t>
      </w:r>
      <w:r w:rsidR="00346AB8">
        <w:rPr>
          <w:rFonts w:ascii="Palatino Linotype" w:hAnsi="Palatino Linotype" w:cs="Tahoma"/>
          <w:b/>
          <w:bCs/>
          <w:lang w:val="en-ZA"/>
        </w:rPr>
        <w:t>O13</w:t>
      </w:r>
      <w:r w:rsidR="00194A2A" w:rsidRPr="00FB10AC">
        <w:rPr>
          <w:rFonts w:ascii="Palatino Linotype" w:hAnsi="Palatino Linotype" w:cs="Tahoma"/>
          <w:b/>
          <w:bCs/>
          <w:lang w:val="en-ZA"/>
        </w:rPr>
        <w:t>/</w:t>
      </w:r>
      <w:r w:rsidR="00346AB8">
        <w:rPr>
          <w:rFonts w:ascii="Palatino Linotype" w:hAnsi="Palatino Linotype" w:cs="Tahoma"/>
          <w:b/>
          <w:bCs/>
          <w:lang w:val="en-ZA"/>
        </w:rPr>
        <w:t>SDFS</w:t>
      </w:r>
      <w:r w:rsidR="00120386" w:rsidRPr="00FB10AC">
        <w:rPr>
          <w:rFonts w:ascii="Palatino Linotype" w:hAnsi="Palatino Linotype" w:cs="Tahoma"/>
          <w:b/>
          <w:bCs/>
          <w:lang w:val="en-ZA"/>
        </w:rPr>
        <w:t>/DA</w:t>
      </w:r>
      <w:r w:rsidR="00346AB8">
        <w:rPr>
          <w:rFonts w:ascii="Palatino Linotype" w:hAnsi="Palatino Linotype" w:cs="Tahoma"/>
          <w:b/>
          <w:bCs/>
          <w:lang w:val="en-ZA"/>
        </w:rPr>
        <w:t>L</w:t>
      </w:r>
      <w:r w:rsidR="005A79AC" w:rsidRPr="00FB10AC">
        <w:rPr>
          <w:rFonts w:ascii="Palatino Linotype" w:hAnsi="Palatino Linotype" w:cs="Tahoma"/>
          <w:b/>
          <w:bCs/>
          <w:lang w:val="en-ZA"/>
        </w:rPr>
        <w:t>/</w:t>
      </w:r>
      <w:r w:rsidR="00346AB8">
        <w:rPr>
          <w:rFonts w:ascii="Palatino Linotype" w:hAnsi="Palatino Linotype" w:cs="Tahoma"/>
          <w:b/>
          <w:bCs/>
          <w:lang w:val="en-ZA"/>
        </w:rPr>
        <w:t>ACHAT</w:t>
      </w:r>
      <w:r w:rsidR="00194A2A" w:rsidRPr="00FB10AC">
        <w:rPr>
          <w:rFonts w:ascii="Palatino Linotype" w:hAnsi="Palatino Linotype" w:cs="Tahoma"/>
          <w:b/>
          <w:bCs/>
          <w:lang w:val="en-ZA"/>
        </w:rPr>
        <w:t>/</w:t>
      </w:r>
      <w:r w:rsidR="00513DC9" w:rsidRPr="00FB10AC">
        <w:rPr>
          <w:rFonts w:ascii="Palatino Linotype" w:hAnsi="Palatino Linotype" w:cs="Tahoma"/>
          <w:b/>
          <w:bCs/>
          <w:lang w:val="en-ZA"/>
        </w:rPr>
        <w:t>201</w:t>
      </w:r>
      <w:r w:rsidR="00120386" w:rsidRPr="00FB10AC">
        <w:rPr>
          <w:rFonts w:ascii="Palatino Linotype" w:hAnsi="Palatino Linotype" w:cs="Tahoma"/>
          <w:b/>
          <w:bCs/>
          <w:lang w:val="en-ZA"/>
        </w:rPr>
        <w:t>9</w:t>
      </w:r>
    </w:p>
    <w:p w:rsidR="00120386" w:rsidRPr="00FB10AC" w:rsidRDefault="00120386" w:rsidP="008470AE">
      <w:pPr>
        <w:tabs>
          <w:tab w:val="left" w:pos="4060"/>
        </w:tabs>
        <w:jc w:val="center"/>
        <w:rPr>
          <w:rFonts w:ascii="Palatino Linotype" w:hAnsi="Palatino Linotype" w:cs="Tahoma"/>
          <w:b/>
          <w:sz w:val="8"/>
          <w:szCs w:val="8"/>
          <w:lang w:val="en-ZA"/>
        </w:rPr>
      </w:pPr>
    </w:p>
    <w:p w:rsidR="007C412F" w:rsidRPr="00FB10AC" w:rsidRDefault="00120386" w:rsidP="00077DFF">
      <w:pPr>
        <w:tabs>
          <w:tab w:val="left" w:pos="4060"/>
        </w:tabs>
        <w:rPr>
          <w:rFonts w:ascii="Palatino Linotype" w:hAnsi="Palatino Linotype" w:cs="Tahoma"/>
          <w:b/>
          <w:bCs/>
        </w:rPr>
      </w:pPr>
      <w:r w:rsidRPr="00FB10AC">
        <w:rPr>
          <w:rFonts w:ascii="Palatino Linotype" w:hAnsi="Palatino Linotype" w:cs="Tahoma"/>
        </w:rPr>
        <w:t xml:space="preserve">Un avis de consultation nationale </w:t>
      </w:r>
      <w:r w:rsidR="00077DFF" w:rsidRPr="00FB10AC">
        <w:rPr>
          <w:rFonts w:ascii="Palatino Linotype" w:hAnsi="Palatino Linotype" w:cs="Tahoma"/>
        </w:rPr>
        <w:t>est lancée</w:t>
      </w:r>
      <w:r w:rsidRPr="00FB10AC">
        <w:rPr>
          <w:rFonts w:ascii="Palatino Linotype" w:hAnsi="Palatino Linotype" w:cs="Tahoma"/>
        </w:rPr>
        <w:t xml:space="preserve"> pour :</w:t>
      </w:r>
    </w:p>
    <w:p w:rsidR="004010AC" w:rsidRDefault="00343303" w:rsidP="00F575C7">
      <w:pPr>
        <w:spacing w:line="206" w:lineRule="auto"/>
        <w:rPr>
          <w:rFonts w:ascii="Palatino Linotype" w:hAnsi="Palatino Linotype" w:cs="Tahoma"/>
          <w:b/>
          <w:bCs/>
        </w:rPr>
      </w:pPr>
      <w:r>
        <w:rPr>
          <w:rFonts w:ascii="Palatino Linotype" w:hAnsi="Palatino Linotype" w:cs="Tahoma"/>
          <w:b/>
          <w:bCs/>
        </w:rPr>
        <w:t xml:space="preserve">Travaux de </w:t>
      </w:r>
      <w:r w:rsidR="00F575C7">
        <w:rPr>
          <w:rFonts w:ascii="Palatino Linotype" w:hAnsi="Palatino Linotype" w:cs="Tahoma"/>
          <w:b/>
          <w:bCs/>
        </w:rPr>
        <w:t>réalisation de canalisation et pose câble FO au profit de :</w:t>
      </w:r>
    </w:p>
    <w:p w:rsidR="0005023E" w:rsidRDefault="0005023E" w:rsidP="00343303">
      <w:pPr>
        <w:spacing w:line="206" w:lineRule="auto"/>
        <w:rPr>
          <w:rFonts w:ascii="Palatino Linotype" w:hAnsi="Palatino Linotype" w:cs="Tahoma"/>
          <w:b/>
          <w:bCs/>
        </w:rPr>
      </w:pPr>
    </w:p>
    <w:tbl>
      <w:tblPr>
        <w:tblpPr w:leftFromText="141" w:rightFromText="141" w:vertAnchor="text" w:horzAnchor="margin" w:tblpY="46"/>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84"/>
        <w:gridCol w:w="4386"/>
        <w:gridCol w:w="1984"/>
        <w:gridCol w:w="2126"/>
      </w:tblGrid>
      <w:tr w:rsidR="00F575C7" w:rsidRPr="00A2114D" w:rsidTr="004D5D92">
        <w:trPr>
          <w:trHeight w:val="376"/>
        </w:trPr>
        <w:tc>
          <w:tcPr>
            <w:tcW w:w="684" w:type="dxa"/>
            <w:shd w:val="clear" w:color="auto" w:fill="E6E6E6"/>
            <w:vAlign w:val="center"/>
          </w:tcPr>
          <w:p w:rsidR="00F575C7" w:rsidRPr="00A2114D" w:rsidRDefault="00F575C7" w:rsidP="007D7BA5">
            <w:pPr>
              <w:jc w:val="center"/>
            </w:pPr>
            <w:r w:rsidRPr="00A2114D">
              <w:t>N° Lots</w:t>
            </w:r>
          </w:p>
        </w:tc>
        <w:tc>
          <w:tcPr>
            <w:tcW w:w="4386" w:type="dxa"/>
            <w:shd w:val="clear" w:color="auto" w:fill="E6E6E6"/>
            <w:vAlign w:val="center"/>
          </w:tcPr>
          <w:p w:rsidR="00F575C7" w:rsidRPr="00A2114D" w:rsidRDefault="00F575C7" w:rsidP="007D7BA5">
            <w:pPr>
              <w:jc w:val="center"/>
            </w:pPr>
            <w:r w:rsidRPr="00A2114D">
              <w:t xml:space="preserve">Désignation </w:t>
            </w:r>
          </w:p>
        </w:tc>
        <w:tc>
          <w:tcPr>
            <w:tcW w:w="1984" w:type="dxa"/>
            <w:shd w:val="clear" w:color="auto" w:fill="E6E6E6"/>
          </w:tcPr>
          <w:p w:rsidR="00F575C7" w:rsidRPr="00A2114D" w:rsidRDefault="00F575C7" w:rsidP="007D7BA5">
            <w:pPr>
              <w:jc w:val="center"/>
            </w:pPr>
            <w:r w:rsidRPr="00A2114D">
              <w:t>Distance (Km/Artère)</w:t>
            </w:r>
          </w:p>
        </w:tc>
        <w:tc>
          <w:tcPr>
            <w:tcW w:w="2126" w:type="dxa"/>
            <w:shd w:val="clear" w:color="auto" w:fill="E6E6E6"/>
            <w:vAlign w:val="center"/>
          </w:tcPr>
          <w:p w:rsidR="00F575C7" w:rsidRPr="00A2114D" w:rsidRDefault="00F575C7" w:rsidP="007D7BA5">
            <w:pPr>
              <w:jc w:val="center"/>
            </w:pPr>
            <w:r w:rsidRPr="00A2114D">
              <w:t>Distance (Km/Alv)</w:t>
            </w:r>
          </w:p>
        </w:tc>
      </w:tr>
      <w:tr w:rsidR="00F575C7" w:rsidRPr="00A2114D" w:rsidTr="004D5D92">
        <w:trPr>
          <w:trHeight w:hRule="exact" w:val="536"/>
        </w:trPr>
        <w:tc>
          <w:tcPr>
            <w:tcW w:w="684" w:type="dxa"/>
          </w:tcPr>
          <w:p w:rsidR="00F575C7" w:rsidRPr="00A2114D" w:rsidRDefault="00F575C7" w:rsidP="007D7BA5">
            <w:pPr>
              <w:jc w:val="center"/>
            </w:pPr>
            <w:r w:rsidRPr="00A2114D">
              <w:t>01</w:t>
            </w:r>
          </w:p>
          <w:p w:rsidR="00F575C7" w:rsidRPr="00A2114D" w:rsidRDefault="00F575C7" w:rsidP="007D7BA5">
            <w:pPr>
              <w:jc w:val="center"/>
            </w:pPr>
          </w:p>
          <w:p w:rsidR="00F575C7" w:rsidRPr="00A2114D" w:rsidRDefault="00F575C7" w:rsidP="007D7BA5">
            <w:pPr>
              <w:jc w:val="center"/>
            </w:pPr>
          </w:p>
          <w:p w:rsidR="00F575C7" w:rsidRPr="00A2114D" w:rsidRDefault="00F575C7" w:rsidP="007D7BA5">
            <w:pPr>
              <w:jc w:val="center"/>
            </w:pPr>
          </w:p>
        </w:tc>
        <w:tc>
          <w:tcPr>
            <w:tcW w:w="4386" w:type="dxa"/>
          </w:tcPr>
          <w:p w:rsidR="00F575C7" w:rsidRPr="00A2114D" w:rsidRDefault="00F575C7" w:rsidP="007D7BA5">
            <w:pPr>
              <w:jc w:val="center"/>
            </w:pPr>
            <w:r>
              <w:t>ANNEXE APC SIDI ALI BENZEMRA</w:t>
            </w:r>
          </w:p>
        </w:tc>
        <w:tc>
          <w:tcPr>
            <w:tcW w:w="1984" w:type="dxa"/>
          </w:tcPr>
          <w:p w:rsidR="00F575C7" w:rsidRPr="00932C87" w:rsidRDefault="00F575C7" w:rsidP="00932C87">
            <w:pPr>
              <w:jc w:val="center"/>
            </w:pPr>
            <w:r w:rsidRPr="00932C87">
              <w:t>0.</w:t>
            </w:r>
            <w:r w:rsidR="00932C87" w:rsidRPr="00932C87">
              <w:t>680</w:t>
            </w:r>
          </w:p>
        </w:tc>
        <w:tc>
          <w:tcPr>
            <w:tcW w:w="2126" w:type="dxa"/>
          </w:tcPr>
          <w:p w:rsidR="00F575C7" w:rsidRPr="00932C87" w:rsidRDefault="00932C87" w:rsidP="00932C87">
            <w:pPr>
              <w:jc w:val="center"/>
            </w:pPr>
            <w:r w:rsidRPr="00932C87">
              <w:t>1</w:t>
            </w:r>
            <w:r w:rsidR="00F575C7" w:rsidRPr="00932C87">
              <w:t>.</w:t>
            </w:r>
            <w:r w:rsidRPr="00932C87">
              <w:t>36</w:t>
            </w:r>
            <w:r w:rsidR="00F575C7" w:rsidRPr="00932C87">
              <w:t>0</w:t>
            </w:r>
          </w:p>
        </w:tc>
      </w:tr>
    </w:tbl>
    <w:p w:rsidR="00343303" w:rsidRDefault="00343303" w:rsidP="00343303">
      <w:pPr>
        <w:spacing w:line="206" w:lineRule="auto"/>
        <w:rPr>
          <w:rFonts w:ascii="Palatino Linotype" w:hAnsi="Palatino Linotype" w:cs="Tahoma"/>
          <w:b/>
          <w:bCs/>
        </w:rPr>
      </w:pPr>
    </w:p>
    <w:p w:rsidR="00F575C7" w:rsidRDefault="00F575C7" w:rsidP="00343303">
      <w:pPr>
        <w:spacing w:line="206" w:lineRule="auto"/>
        <w:rPr>
          <w:rFonts w:ascii="Palatino Linotype" w:hAnsi="Palatino Linotype" w:cs="Tahoma"/>
          <w:b/>
          <w:bCs/>
        </w:rPr>
      </w:pPr>
    </w:p>
    <w:p w:rsidR="00F575C7" w:rsidRDefault="00F575C7" w:rsidP="00343303">
      <w:pPr>
        <w:spacing w:line="206" w:lineRule="auto"/>
        <w:rPr>
          <w:rFonts w:ascii="Palatino Linotype" w:hAnsi="Palatino Linotype" w:cs="Tahoma"/>
          <w:b/>
          <w:bCs/>
        </w:rPr>
      </w:pPr>
    </w:p>
    <w:p w:rsidR="00F575C7" w:rsidRDefault="00F575C7" w:rsidP="00343303">
      <w:pPr>
        <w:spacing w:line="206" w:lineRule="auto"/>
        <w:rPr>
          <w:rFonts w:ascii="Palatino Linotype" w:hAnsi="Palatino Linotype" w:cs="Tahoma"/>
          <w:b/>
          <w:bCs/>
        </w:rPr>
      </w:pPr>
    </w:p>
    <w:p w:rsidR="00F575C7" w:rsidRDefault="00F575C7" w:rsidP="00343303">
      <w:pPr>
        <w:spacing w:line="206" w:lineRule="auto"/>
        <w:rPr>
          <w:rFonts w:ascii="Palatino Linotype" w:hAnsi="Palatino Linotype" w:cs="Tahoma"/>
          <w:b/>
          <w:bCs/>
        </w:rPr>
      </w:pPr>
    </w:p>
    <w:p w:rsidR="009B0EE8" w:rsidRDefault="009B0EE8" w:rsidP="009B0EE8">
      <w:pPr>
        <w:jc w:val="both"/>
        <w:rPr>
          <w:b/>
          <w:bCs/>
          <w:u w:val="single"/>
        </w:rPr>
      </w:pPr>
      <w:r w:rsidRPr="00833533">
        <w:rPr>
          <w:b/>
          <w:bCs/>
          <w:u w:val="single"/>
        </w:rPr>
        <w:t>ELIGIBILITE DES CANDIDATS :</w:t>
      </w:r>
    </w:p>
    <w:p w:rsidR="009B0EE8" w:rsidRDefault="009B0EE8" w:rsidP="00EE0EF8">
      <w:pPr>
        <w:ind w:right="144"/>
        <w:jc w:val="both"/>
        <w:rPr>
          <w:spacing w:val="-1"/>
          <w:w w:val="105"/>
          <w:sz w:val="18"/>
          <w:szCs w:val="18"/>
        </w:rPr>
      </w:pPr>
      <w:r w:rsidRPr="009B0EE8">
        <w:rPr>
          <w:rFonts w:ascii="Palatino Linotype" w:hAnsi="Palatino Linotype" w:cs="Tahoma"/>
        </w:rPr>
        <w:t xml:space="preserve">Le présent </w:t>
      </w:r>
      <w:r w:rsidR="00EE0EF8">
        <w:rPr>
          <w:rFonts w:ascii="Palatino Linotype" w:hAnsi="Palatino Linotype" w:cs="Tahoma"/>
        </w:rPr>
        <w:t xml:space="preserve">avis de consultation </w:t>
      </w:r>
      <w:r w:rsidRPr="009B0EE8">
        <w:rPr>
          <w:rFonts w:ascii="Palatino Linotype" w:hAnsi="Palatino Linotype" w:cs="Tahoma"/>
        </w:rPr>
        <w:t>s’adresse uniquement aux personnes physiques et/ou morales soumissionnant seules ou dans le cadre de groupements momentanés d’entreprises, qualifiées dans le domaine des travaux de génie civil et canalisation, travaux publics, bâtiment et Hydrauliques de droit algérien, ayant des capacités techniques et financières pour la réalisation du projet selon les paliers suivants :</w:t>
      </w:r>
      <w:r w:rsidRPr="006E6244">
        <w:rPr>
          <w:spacing w:val="-1"/>
          <w:w w:val="105"/>
          <w:sz w:val="18"/>
          <w:szCs w:val="18"/>
        </w:rPr>
        <w:t> </w:t>
      </w:r>
    </w:p>
    <w:p w:rsidR="009B0EE8" w:rsidRPr="006E6244" w:rsidRDefault="009B0EE8" w:rsidP="009B0EE8">
      <w:pPr>
        <w:ind w:right="144"/>
        <w:jc w:val="both"/>
        <w:rPr>
          <w:spacing w:val="-1"/>
          <w:w w:val="105"/>
          <w:sz w:val="18"/>
          <w:szCs w:val="18"/>
        </w:rPr>
      </w:pPr>
    </w:p>
    <w:p w:rsidR="009B0EE8" w:rsidRPr="006E6244" w:rsidRDefault="009B0EE8" w:rsidP="009B0EE8">
      <w:pPr>
        <w:ind w:left="360" w:right="144"/>
        <w:jc w:val="both"/>
        <w:rPr>
          <w:b/>
          <w:spacing w:val="-1"/>
          <w:w w:val="105"/>
          <w:sz w:val="18"/>
          <w:szCs w:val="18"/>
        </w:rPr>
      </w:pPr>
      <w:r w:rsidRPr="009B0EE8">
        <w:rPr>
          <w:b/>
          <w:spacing w:val="-1"/>
          <w:w w:val="105"/>
        </w:rPr>
        <w:t>Palier 01 : Pour les lots dont la distance est supérieure à 600 mètres linéaires (artère)</w:t>
      </w:r>
    </w:p>
    <w:p w:rsidR="009B0EE8" w:rsidRPr="009B0EE8" w:rsidRDefault="009B0EE8" w:rsidP="009B0EE8">
      <w:pPr>
        <w:ind w:right="144"/>
        <w:jc w:val="both"/>
        <w:rPr>
          <w:rFonts w:ascii="Palatino Linotype" w:hAnsi="Palatino Linotype" w:cs="Tahoma"/>
        </w:rPr>
      </w:pPr>
      <w:r w:rsidRPr="009B0EE8">
        <w:rPr>
          <w:rFonts w:ascii="Palatino Linotype" w:hAnsi="Palatino Linotype" w:cs="Tahoma"/>
        </w:rPr>
        <w:t>Seules les soumissionnaires possédant un certificat de qualification et classification de 01</w:t>
      </w:r>
      <w:r w:rsidR="00EE0EF8">
        <w:rPr>
          <w:rFonts w:ascii="Palatino Linotype" w:hAnsi="Palatino Linotype" w:cs="Tahoma"/>
        </w:rPr>
        <w:t xml:space="preserve"> </w:t>
      </w:r>
      <w:r w:rsidRPr="009B0EE8">
        <w:rPr>
          <w:rFonts w:ascii="Palatino Linotype" w:hAnsi="Palatino Linotype" w:cs="Tahoma"/>
        </w:rPr>
        <w:t>et plus sont appelées à soumissionner pour ces lots.</w:t>
      </w:r>
    </w:p>
    <w:p w:rsidR="009B0EE8" w:rsidRPr="005C6F65" w:rsidRDefault="00932C87" w:rsidP="009B0EE8">
      <w:pPr>
        <w:ind w:left="360" w:right="144"/>
        <w:jc w:val="both"/>
        <w:rPr>
          <w:b/>
          <w:spacing w:val="-1"/>
          <w:w w:val="105"/>
        </w:rPr>
      </w:pPr>
      <w:r>
        <w:rPr>
          <w:b/>
          <w:spacing w:val="-1"/>
          <w:w w:val="105"/>
        </w:rPr>
        <w:t xml:space="preserve">Palier </w:t>
      </w:r>
      <w:r w:rsidR="009B0EE8" w:rsidRPr="005C6F65">
        <w:rPr>
          <w:b/>
          <w:spacing w:val="-1"/>
          <w:w w:val="105"/>
        </w:rPr>
        <w:t>02 : Pour les lots dont la distance est inférieure</w:t>
      </w:r>
      <w:r w:rsidR="009B0EE8">
        <w:rPr>
          <w:b/>
          <w:spacing w:val="-1"/>
          <w:w w:val="105"/>
        </w:rPr>
        <w:t xml:space="preserve"> </w:t>
      </w:r>
      <w:r w:rsidR="009B0EE8" w:rsidRPr="005C6F65">
        <w:rPr>
          <w:b/>
          <w:spacing w:val="-1"/>
          <w:w w:val="105"/>
        </w:rPr>
        <w:t xml:space="preserve">ou égale à 600 mètre linéaire </w:t>
      </w:r>
      <w:r w:rsidR="009B0EE8" w:rsidRPr="005C6F65">
        <w:rPr>
          <w:spacing w:val="-1"/>
          <w:w w:val="105"/>
        </w:rPr>
        <w:t>(</w:t>
      </w:r>
      <w:r w:rsidR="009B0EE8" w:rsidRPr="005C6F65">
        <w:rPr>
          <w:b/>
          <w:spacing w:val="-1"/>
          <w:w w:val="105"/>
        </w:rPr>
        <w:t>artère</w:t>
      </w:r>
      <w:r w:rsidR="009B0EE8" w:rsidRPr="005C6F65">
        <w:rPr>
          <w:spacing w:val="-1"/>
          <w:w w:val="105"/>
        </w:rPr>
        <w:t>)</w:t>
      </w:r>
    </w:p>
    <w:p w:rsidR="009B0EE8" w:rsidRPr="009B0EE8" w:rsidRDefault="009B0EE8" w:rsidP="009B0EE8">
      <w:pPr>
        <w:ind w:right="144"/>
        <w:jc w:val="both"/>
        <w:rPr>
          <w:rFonts w:ascii="Palatino Linotype" w:hAnsi="Palatino Linotype" w:cs="Tahoma"/>
        </w:rPr>
      </w:pPr>
      <w:r w:rsidRPr="009B0EE8">
        <w:rPr>
          <w:rFonts w:ascii="Palatino Linotype" w:hAnsi="Palatino Linotype" w:cs="Tahoma"/>
        </w:rPr>
        <w:t>Aucune qualification n’est exigée pour ces lots.</w:t>
      </w:r>
    </w:p>
    <w:p w:rsidR="008D2BDA" w:rsidRPr="00FB10AC" w:rsidRDefault="008D2BDA" w:rsidP="008D2BDA">
      <w:pPr>
        <w:spacing w:line="206" w:lineRule="auto"/>
        <w:rPr>
          <w:rFonts w:ascii="Palatino Linotype" w:hAnsi="Palatino Linotype" w:cs="Tahoma"/>
          <w:b/>
          <w:bCs/>
          <w:sz w:val="16"/>
          <w:szCs w:val="16"/>
        </w:rPr>
      </w:pPr>
    </w:p>
    <w:p w:rsidR="00EE40F5" w:rsidRPr="00FB10AC" w:rsidRDefault="00EE40F5" w:rsidP="007C412F">
      <w:pPr>
        <w:tabs>
          <w:tab w:val="left" w:pos="4060"/>
        </w:tabs>
        <w:jc w:val="both"/>
        <w:rPr>
          <w:rFonts w:ascii="Palatino Linotype" w:hAnsi="Palatino Linotype" w:cs="Tahoma"/>
          <w:b/>
          <w:bCs/>
          <w:sz w:val="2"/>
          <w:szCs w:val="2"/>
        </w:rPr>
      </w:pPr>
    </w:p>
    <w:p w:rsidR="005A79AC" w:rsidRDefault="005A79AC" w:rsidP="00B73879">
      <w:pPr>
        <w:tabs>
          <w:tab w:val="left" w:pos="4060"/>
        </w:tabs>
        <w:jc w:val="both"/>
        <w:rPr>
          <w:rFonts w:ascii="Palatino Linotype" w:hAnsi="Palatino Linotype" w:cs="Tahoma"/>
          <w:bCs/>
        </w:rPr>
      </w:pPr>
      <w:r w:rsidRPr="00FB10AC">
        <w:rPr>
          <w:rFonts w:ascii="Palatino Linotype" w:hAnsi="Palatino Linotype" w:cs="Tahoma"/>
          <w:bCs/>
        </w:rPr>
        <w:t xml:space="preserve">Les représentants des </w:t>
      </w:r>
      <w:r w:rsidR="00B73879" w:rsidRPr="0005023E">
        <w:rPr>
          <w:rFonts w:ascii="Palatino Linotype" w:hAnsi="Palatino Linotype" w:cs="Tahoma"/>
          <w:bCs/>
        </w:rPr>
        <w:t>entreprises</w:t>
      </w:r>
      <w:r w:rsidRPr="00FB10AC">
        <w:rPr>
          <w:rFonts w:ascii="Palatino Linotype" w:hAnsi="Palatino Linotype" w:cs="Tahoma"/>
          <w:bCs/>
        </w:rPr>
        <w:t xml:space="preserve"> intéressés peuvent se présenter</w:t>
      </w:r>
      <w:r w:rsidR="00663088" w:rsidRPr="00FB10AC">
        <w:rPr>
          <w:rFonts w:ascii="Palatino Linotype" w:hAnsi="Palatino Linotype" w:cs="Tahoma"/>
          <w:bCs/>
        </w:rPr>
        <w:t xml:space="preserve"> pou</w:t>
      </w:r>
      <w:r w:rsidR="00435BA0" w:rsidRPr="00FB10AC">
        <w:rPr>
          <w:rFonts w:ascii="Palatino Linotype" w:hAnsi="Palatino Linotype" w:cs="Tahoma"/>
          <w:bCs/>
        </w:rPr>
        <w:t>r retirer le cahier des charges,</w:t>
      </w:r>
      <w:r w:rsidR="005E5059" w:rsidRPr="00FB10AC">
        <w:rPr>
          <w:rFonts w:ascii="Palatino Linotype" w:hAnsi="Palatino Linotype" w:cs="Tahoma"/>
          <w:b/>
          <w:u w:val="single"/>
        </w:rPr>
        <w:t xml:space="preserve"> accompagné</w:t>
      </w:r>
      <w:r w:rsidR="00DA5665" w:rsidRPr="00FB10AC">
        <w:rPr>
          <w:rFonts w:ascii="Palatino Linotype" w:hAnsi="Palatino Linotype" w:cs="Tahoma"/>
          <w:b/>
          <w:u w:val="single"/>
        </w:rPr>
        <w:t>s</w:t>
      </w:r>
      <w:r w:rsidRPr="00FB10AC">
        <w:rPr>
          <w:rFonts w:ascii="Palatino Linotype" w:hAnsi="Palatino Linotype" w:cs="Tahoma"/>
          <w:b/>
          <w:u w:val="single"/>
        </w:rPr>
        <w:t xml:space="preserve"> du cachet de l’entreprise</w:t>
      </w:r>
      <w:r w:rsidR="00077DFF" w:rsidRPr="00FB10AC">
        <w:rPr>
          <w:rFonts w:ascii="Palatino Linotype" w:hAnsi="Palatino Linotype" w:cs="Tahoma"/>
          <w:b/>
          <w:u w:val="single"/>
        </w:rPr>
        <w:t xml:space="preserve"> </w:t>
      </w:r>
      <w:r w:rsidRPr="00FB10AC">
        <w:rPr>
          <w:rFonts w:ascii="Palatino Linotype" w:hAnsi="Palatino Linotype" w:cs="Tahoma"/>
          <w:bCs/>
        </w:rPr>
        <w:t>à l’adresse ci-après:</w:t>
      </w:r>
    </w:p>
    <w:p w:rsidR="009B0EE8" w:rsidRDefault="009B0EE8" w:rsidP="00B73879">
      <w:pPr>
        <w:tabs>
          <w:tab w:val="left" w:pos="4060"/>
        </w:tabs>
        <w:jc w:val="both"/>
        <w:rPr>
          <w:rFonts w:ascii="Palatino Linotype" w:hAnsi="Palatino Linotype" w:cs="Tahoma"/>
          <w:bCs/>
        </w:rPr>
      </w:pPr>
    </w:p>
    <w:p w:rsidR="005A79AC" w:rsidRPr="00FB10AC" w:rsidRDefault="005A79AC" w:rsidP="00A64EE0">
      <w:pPr>
        <w:tabs>
          <w:tab w:val="left" w:pos="4060"/>
        </w:tabs>
        <w:rPr>
          <w:rFonts w:ascii="Palatino Linotype" w:hAnsi="Palatino Linotype" w:cs="Tahoma"/>
          <w:bCs/>
          <w:sz w:val="2"/>
          <w:szCs w:val="2"/>
        </w:rPr>
      </w:pPr>
    </w:p>
    <w:p w:rsidR="00120386" w:rsidRPr="00FB10AC" w:rsidRDefault="005A79AC" w:rsidP="00346AB8">
      <w:pPr>
        <w:tabs>
          <w:tab w:val="left" w:pos="4060"/>
        </w:tabs>
        <w:jc w:val="center"/>
        <w:rPr>
          <w:rFonts w:ascii="Palatino Linotype" w:hAnsi="Palatino Linotype" w:cs="Tahoma"/>
          <w:b/>
          <w:sz w:val="22"/>
          <w:szCs w:val="22"/>
        </w:rPr>
      </w:pPr>
      <w:r w:rsidRPr="00FB10AC">
        <w:rPr>
          <w:rFonts w:ascii="Palatino Linotype" w:hAnsi="Palatino Linotype" w:cs="Tahoma"/>
          <w:b/>
          <w:sz w:val="22"/>
          <w:szCs w:val="22"/>
        </w:rPr>
        <w:t xml:space="preserve">ALGERIE TELECOM </w:t>
      </w:r>
      <w:r w:rsidR="007A7714" w:rsidRPr="00FB10AC">
        <w:rPr>
          <w:rFonts w:ascii="Palatino Linotype" w:hAnsi="Palatino Linotype" w:cs="Tahoma"/>
          <w:b/>
          <w:sz w:val="22"/>
          <w:szCs w:val="22"/>
        </w:rPr>
        <w:t>-</w:t>
      </w:r>
      <w:r w:rsidRPr="00FB10AC">
        <w:rPr>
          <w:rFonts w:ascii="Palatino Linotype" w:hAnsi="Palatino Linotype" w:cs="Tahoma"/>
          <w:b/>
          <w:sz w:val="22"/>
          <w:szCs w:val="22"/>
        </w:rPr>
        <w:t xml:space="preserve"> </w:t>
      </w:r>
      <w:r w:rsidR="00346AB8" w:rsidRPr="00027F70">
        <w:rPr>
          <w:rFonts w:ascii="Palatino Linotype" w:hAnsi="Palatino Linotype" w:cs="Tahoma"/>
          <w:b/>
          <w:bCs/>
        </w:rPr>
        <w:t>DIRECTION OPÉRATIONNELLE DE TLEMCEN</w:t>
      </w:r>
    </w:p>
    <w:p w:rsidR="00120386" w:rsidRPr="00FB10AC" w:rsidRDefault="00346AB8" w:rsidP="00A64EE0">
      <w:pPr>
        <w:tabs>
          <w:tab w:val="left" w:pos="6780"/>
        </w:tabs>
        <w:jc w:val="center"/>
        <w:rPr>
          <w:rFonts w:ascii="Palatino Linotype" w:hAnsi="Palatino Linotype" w:cs="Tahoma"/>
          <w:b/>
          <w:sz w:val="22"/>
          <w:szCs w:val="22"/>
        </w:rPr>
      </w:pPr>
      <w:r w:rsidRPr="00027F70">
        <w:rPr>
          <w:rFonts w:ascii="Palatino Linotype" w:hAnsi="Palatino Linotype" w:cs="Tahoma"/>
          <w:b/>
          <w:bCs/>
        </w:rPr>
        <w:t>SOUS DIRECTION FONCTIONS SUPPORT</w:t>
      </w:r>
    </w:p>
    <w:p w:rsidR="00120386" w:rsidRPr="00FB10AC" w:rsidRDefault="00346AB8" w:rsidP="00A64EE0">
      <w:pPr>
        <w:tabs>
          <w:tab w:val="left" w:pos="6780"/>
        </w:tabs>
        <w:jc w:val="center"/>
        <w:rPr>
          <w:rFonts w:ascii="Palatino Linotype" w:hAnsi="Palatino Linotype" w:cs="Tahoma"/>
          <w:b/>
          <w:sz w:val="22"/>
          <w:szCs w:val="22"/>
        </w:rPr>
      </w:pPr>
      <w:r w:rsidRPr="00027F70">
        <w:rPr>
          <w:rFonts w:ascii="Palatino Linotype" w:hAnsi="Palatino Linotype" w:cs="Tahoma"/>
          <w:b/>
          <w:bCs/>
        </w:rPr>
        <w:t>DÉPARTEMENT ACHAT</w:t>
      </w:r>
      <w:r w:rsidR="00AB3050">
        <w:rPr>
          <w:rFonts w:ascii="Palatino Linotype" w:hAnsi="Palatino Linotype" w:cs="Tahoma"/>
          <w:b/>
          <w:bCs/>
        </w:rPr>
        <w:t>S</w:t>
      </w:r>
      <w:r w:rsidRPr="00027F70">
        <w:rPr>
          <w:rFonts w:ascii="Palatino Linotype" w:hAnsi="Palatino Linotype" w:cs="Tahoma"/>
          <w:b/>
          <w:bCs/>
        </w:rPr>
        <w:t xml:space="preserve"> ET LOGISTIQUE</w:t>
      </w:r>
    </w:p>
    <w:p w:rsidR="00077DFF" w:rsidRPr="00673DBE" w:rsidRDefault="00673DBE" w:rsidP="00194A2A">
      <w:pPr>
        <w:tabs>
          <w:tab w:val="left" w:pos="4060"/>
        </w:tabs>
        <w:jc w:val="center"/>
        <w:rPr>
          <w:rFonts w:ascii="Palatino Linotype" w:hAnsi="Palatino Linotype" w:cs="Tahoma"/>
          <w:b/>
          <w:bCs/>
        </w:rPr>
      </w:pPr>
      <w:r w:rsidRPr="00346AB8">
        <w:rPr>
          <w:rFonts w:ascii="Palatino Linotype" w:hAnsi="Palatino Linotype" w:cs="Tahoma"/>
          <w:b/>
          <w:bCs/>
        </w:rPr>
        <w:t>BOULEVARD PASTEUR (EN FACE SIÈGE DU WILAYA) - TLEMCEN</w:t>
      </w:r>
    </w:p>
    <w:p w:rsidR="00C144B2" w:rsidRPr="00FB10AC" w:rsidRDefault="00C144B2" w:rsidP="00194A2A">
      <w:pPr>
        <w:tabs>
          <w:tab w:val="left" w:pos="4060"/>
        </w:tabs>
        <w:jc w:val="center"/>
        <w:rPr>
          <w:rFonts w:ascii="Cambria" w:hAnsi="Cambria" w:cs="Tahoma"/>
          <w:b/>
          <w:bCs/>
          <w:sz w:val="22"/>
          <w:szCs w:val="22"/>
        </w:rPr>
      </w:pPr>
    </w:p>
    <w:p w:rsidR="00C144B2" w:rsidRPr="00FB10AC" w:rsidRDefault="00C144B2" w:rsidP="0005023E">
      <w:pPr>
        <w:jc w:val="both"/>
        <w:rPr>
          <w:rFonts w:ascii="Palatino Linotype" w:hAnsi="Palatino Linotype" w:cs="Tahoma"/>
          <w:bCs/>
        </w:rPr>
      </w:pPr>
      <w:r w:rsidRPr="00FB10AC">
        <w:rPr>
          <w:rFonts w:ascii="Palatino Linotype" w:hAnsi="Palatino Linotype" w:cs="Tahoma"/>
          <w:bCs/>
        </w:rPr>
        <w:t xml:space="preserve">Contre le versement auprès de </w:t>
      </w:r>
      <w:r w:rsidRPr="00346AB8">
        <w:rPr>
          <w:rFonts w:ascii="Palatino Linotype" w:hAnsi="Palatino Linotype" w:cs="Tahoma"/>
          <w:b/>
        </w:rPr>
        <w:t>la banque BNA</w:t>
      </w:r>
      <w:r w:rsidR="00346AB8" w:rsidRPr="00346AB8">
        <w:rPr>
          <w:b/>
          <w:sz w:val="20"/>
          <w:szCs w:val="20"/>
        </w:rPr>
        <w:t xml:space="preserve"> </w:t>
      </w:r>
      <w:r w:rsidR="00346AB8" w:rsidRPr="00346AB8">
        <w:rPr>
          <w:rFonts w:ascii="Palatino Linotype" w:hAnsi="Palatino Linotype" w:cs="Tahoma"/>
          <w:b/>
        </w:rPr>
        <w:t>TLEMCEN</w:t>
      </w:r>
      <w:r w:rsidRPr="00346AB8">
        <w:rPr>
          <w:rFonts w:ascii="Palatino Linotype" w:hAnsi="Palatino Linotype" w:cs="Tahoma"/>
          <w:b/>
        </w:rPr>
        <w:t>,</w:t>
      </w:r>
      <w:r w:rsidR="00346AB8" w:rsidRPr="00346AB8">
        <w:rPr>
          <w:b/>
          <w:sz w:val="20"/>
          <w:szCs w:val="20"/>
        </w:rPr>
        <w:t xml:space="preserve"> </w:t>
      </w:r>
      <w:r w:rsidR="00346AB8" w:rsidRPr="00346AB8">
        <w:rPr>
          <w:rFonts w:ascii="Palatino Linotype" w:hAnsi="Palatino Linotype" w:cs="Tahoma"/>
          <w:b/>
        </w:rPr>
        <w:t>agence 512</w:t>
      </w:r>
      <w:r w:rsidR="00346AB8">
        <w:rPr>
          <w:rFonts w:ascii="Palatino Linotype" w:hAnsi="Palatino Linotype" w:cs="Tahoma"/>
          <w:b/>
        </w:rPr>
        <w:t xml:space="preserve"> </w:t>
      </w:r>
      <w:r w:rsidRPr="00FB10AC">
        <w:rPr>
          <w:rFonts w:ascii="Palatino Linotype" w:hAnsi="Palatino Linotype" w:cs="Tahoma"/>
          <w:bCs/>
        </w:rPr>
        <w:t xml:space="preserve">d’un montant de </w:t>
      </w:r>
      <w:r w:rsidR="00346AB8">
        <w:rPr>
          <w:rFonts w:ascii="Palatino Linotype" w:hAnsi="Palatino Linotype" w:cs="Tahoma"/>
          <w:bCs/>
        </w:rPr>
        <w:t xml:space="preserve"> </w:t>
      </w:r>
      <w:r w:rsidR="0005023E" w:rsidRPr="0005023E">
        <w:rPr>
          <w:rFonts w:ascii="Palatino Linotype" w:hAnsi="Palatino Linotype" w:cs="Tahoma"/>
          <w:b/>
        </w:rPr>
        <w:t>Deux</w:t>
      </w:r>
      <w:r w:rsidR="0005023E">
        <w:rPr>
          <w:rFonts w:ascii="Palatino Linotype" w:hAnsi="Palatino Linotype" w:cs="Tahoma"/>
          <w:bCs/>
        </w:rPr>
        <w:t xml:space="preserve"> </w:t>
      </w:r>
      <w:r w:rsidR="00034DF4" w:rsidRPr="00034DF4">
        <w:rPr>
          <w:rFonts w:ascii="Palatino Linotype" w:hAnsi="Palatino Linotype" w:cs="Tahoma"/>
          <w:b/>
        </w:rPr>
        <w:t>M</w:t>
      </w:r>
      <w:r w:rsidRPr="00034DF4">
        <w:rPr>
          <w:rFonts w:ascii="Palatino Linotype" w:hAnsi="Palatino Linotype" w:cs="Tahoma"/>
          <w:b/>
        </w:rPr>
        <w:t>ille</w:t>
      </w:r>
      <w:r w:rsidRPr="00FB10AC">
        <w:rPr>
          <w:rFonts w:ascii="Palatino Linotype" w:hAnsi="Palatino Linotype" w:cs="Tahoma"/>
          <w:bCs/>
        </w:rPr>
        <w:t xml:space="preserve"> Dinars</w:t>
      </w:r>
      <w:r w:rsidR="00346AB8">
        <w:rPr>
          <w:rFonts w:ascii="Palatino Linotype" w:hAnsi="Palatino Linotype" w:cs="Tahoma"/>
          <w:bCs/>
        </w:rPr>
        <w:t xml:space="preserve"> </w:t>
      </w:r>
      <w:r w:rsidRPr="00346AB8">
        <w:rPr>
          <w:rFonts w:ascii="Palatino Linotype" w:hAnsi="Palatino Linotype" w:cs="Tahoma"/>
          <w:b/>
        </w:rPr>
        <w:t>(</w:t>
      </w:r>
      <w:r w:rsidR="0005023E">
        <w:rPr>
          <w:rFonts w:ascii="Palatino Linotype" w:hAnsi="Palatino Linotype" w:cs="Tahoma"/>
          <w:b/>
        </w:rPr>
        <w:t>2</w:t>
      </w:r>
      <w:r w:rsidR="00346AB8" w:rsidRPr="00346AB8">
        <w:rPr>
          <w:rFonts w:ascii="Palatino Linotype" w:hAnsi="Palatino Linotype" w:cs="Tahoma"/>
          <w:b/>
        </w:rPr>
        <w:t>000,00</w:t>
      </w:r>
      <w:r w:rsidRPr="00346AB8">
        <w:rPr>
          <w:rFonts w:ascii="Palatino Linotype" w:hAnsi="Palatino Linotype" w:cs="Tahoma"/>
          <w:b/>
        </w:rPr>
        <w:t>DA)</w:t>
      </w:r>
      <w:r w:rsidRPr="00FB10AC">
        <w:rPr>
          <w:rFonts w:ascii="Palatino Linotype" w:hAnsi="Palatino Linotype" w:cs="Tahoma"/>
          <w:bCs/>
        </w:rPr>
        <w:t xml:space="preserve">, non remboursable, représentant les frais de documentation et de reprographie au compte bancaire : </w:t>
      </w:r>
      <w:r w:rsidRPr="00346AB8">
        <w:rPr>
          <w:rFonts w:ascii="Palatino Linotype" w:hAnsi="Palatino Linotype" w:cs="Tahoma"/>
          <w:b/>
        </w:rPr>
        <w:t>n°</w:t>
      </w:r>
      <w:r w:rsidR="00346AB8">
        <w:rPr>
          <w:rFonts w:ascii="Palatino Linotype" w:hAnsi="Palatino Linotype" w:cs="Tahoma"/>
          <w:b/>
        </w:rPr>
        <w:t xml:space="preserve"> </w:t>
      </w:r>
      <w:r w:rsidR="00346AB8" w:rsidRPr="00346AB8">
        <w:rPr>
          <w:rFonts w:ascii="Palatino Linotype" w:hAnsi="Palatino Linotype" w:cs="Tahoma"/>
          <w:b/>
        </w:rPr>
        <w:t>001.00512.0300.000.075.24</w:t>
      </w:r>
      <w:r w:rsidRPr="00FB10AC">
        <w:rPr>
          <w:rFonts w:ascii="Palatino Linotype" w:hAnsi="Palatino Linotype" w:cs="Tahoma"/>
          <w:bCs/>
        </w:rPr>
        <w:t>.</w:t>
      </w:r>
    </w:p>
    <w:p w:rsidR="00C144B2" w:rsidRPr="00FB10AC" w:rsidRDefault="00C144B2" w:rsidP="00C144B2">
      <w:pPr>
        <w:jc w:val="both"/>
        <w:rPr>
          <w:rFonts w:ascii="Palatino Linotype" w:hAnsi="Palatino Linotype" w:cs="Tahoma"/>
          <w:bCs/>
        </w:rPr>
      </w:pPr>
      <w:r w:rsidRPr="00FB10AC">
        <w:rPr>
          <w:rFonts w:ascii="Palatino Linotype" w:hAnsi="Palatino Linotype" w:cs="Tahoma"/>
          <w:bCs/>
        </w:rPr>
        <w:t xml:space="preserve">Le cahier des charges doit être retiré par le candidat ou son représentant désigné à cet effet. </w:t>
      </w:r>
    </w:p>
    <w:p w:rsidR="00077DFF" w:rsidRDefault="00077DFF" w:rsidP="00077DFF">
      <w:pPr>
        <w:tabs>
          <w:tab w:val="left" w:pos="4060"/>
        </w:tabs>
        <w:rPr>
          <w:rFonts w:ascii="Cambria" w:hAnsi="Cambria" w:cs="Tahoma"/>
          <w:b/>
          <w:bCs/>
          <w:sz w:val="22"/>
          <w:szCs w:val="22"/>
          <w:rtl/>
        </w:rPr>
      </w:pPr>
    </w:p>
    <w:p w:rsidR="005B588A" w:rsidRDefault="005B588A" w:rsidP="00077DFF">
      <w:pPr>
        <w:tabs>
          <w:tab w:val="left" w:pos="4060"/>
        </w:tabs>
        <w:rPr>
          <w:rFonts w:ascii="Cambria" w:hAnsi="Cambria" w:cs="Tahoma"/>
          <w:b/>
          <w:bCs/>
          <w:sz w:val="22"/>
          <w:szCs w:val="22"/>
          <w:rtl/>
        </w:rPr>
      </w:pPr>
    </w:p>
    <w:p w:rsidR="005B588A" w:rsidRDefault="005B588A" w:rsidP="00077DFF">
      <w:pPr>
        <w:tabs>
          <w:tab w:val="left" w:pos="4060"/>
        </w:tabs>
        <w:rPr>
          <w:rFonts w:ascii="Cambria" w:hAnsi="Cambria" w:cs="Tahoma"/>
          <w:b/>
          <w:bCs/>
          <w:sz w:val="22"/>
          <w:szCs w:val="22"/>
          <w:rtl/>
        </w:rPr>
      </w:pPr>
    </w:p>
    <w:p w:rsidR="005B588A" w:rsidRDefault="005B588A" w:rsidP="00077DFF">
      <w:pPr>
        <w:tabs>
          <w:tab w:val="left" w:pos="4060"/>
        </w:tabs>
        <w:rPr>
          <w:rFonts w:ascii="Cambria" w:hAnsi="Cambria" w:cs="Tahoma"/>
          <w:b/>
          <w:bCs/>
          <w:sz w:val="22"/>
          <w:szCs w:val="22"/>
          <w:rtl/>
        </w:rPr>
      </w:pPr>
    </w:p>
    <w:p w:rsidR="005B588A" w:rsidRDefault="005B588A" w:rsidP="00077DFF">
      <w:pPr>
        <w:tabs>
          <w:tab w:val="left" w:pos="4060"/>
        </w:tabs>
        <w:rPr>
          <w:rFonts w:ascii="Cambria" w:hAnsi="Cambria" w:cs="Tahoma"/>
          <w:b/>
          <w:bCs/>
          <w:sz w:val="22"/>
          <w:szCs w:val="22"/>
          <w:rtl/>
        </w:rPr>
      </w:pPr>
    </w:p>
    <w:p w:rsidR="005B588A" w:rsidRPr="00FB10AC" w:rsidRDefault="005B588A" w:rsidP="00077DFF">
      <w:pPr>
        <w:tabs>
          <w:tab w:val="left" w:pos="4060"/>
        </w:tabs>
        <w:rPr>
          <w:rFonts w:ascii="Cambria" w:hAnsi="Cambria" w:cs="Tahoma"/>
          <w:b/>
          <w:bCs/>
          <w:sz w:val="22"/>
          <w:szCs w:val="22"/>
        </w:rPr>
      </w:pPr>
    </w:p>
    <w:p w:rsidR="00135C4E" w:rsidRPr="00FB10AC" w:rsidRDefault="00135C4E" w:rsidP="00A64EE0">
      <w:pPr>
        <w:tabs>
          <w:tab w:val="left" w:pos="4060"/>
        </w:tabs>
        <w:rPr>
          <w:rFonts w:ascii="Palatino Linotype" w:hAnsi="Palatino Linotype" w:cs="Tahoma"/>
          <w:b/>
          <w:bCs/>
          <w:sz w:val="2"/>
          <w:szCs w:val="2"/>
        </w:rPr>
      </w:pPr>
    </w:p>
    <w:p w:rsidR="00E53BC3" w:rsidRPr="00E53BC3" w:rsidRDefault="00E53BC3" w:rsidP="00E53BC3">
      <w:pPr>
        <w:jc w:val="both"/>
        <w:rPr>
          <w:b/>
          <w:u w:val="single"/>
        </w:rPr>
      </w:pPr>
      <w:r w:rsidRPr="00E53BC3">
        <w:rPr>
          <w:rFonts w:ascii="Palatino Linotype" w:hAnsi="Palatino Linotype" w:cs="Tahoma"/>
          <w:b/>
          <w:u w:val="single"/>
        </w:rPr>
        <w:t>Présentation des offres :</w:t>
      </w:r>
    </w:p>
    <w:p w:rsidR="009B0EE8" w:rsidRPr="009B0EE8" w:rsidRDefault="009B0EE8" w:rsidP="00000663">
      <w:pPr>
        <w:pStyle w:val="Style1"/>
        <w:jc w:val="both"/>
        <w:rPr>
          <w:rFonts w:ascii="Palatino Linotype" w:hAnsi="Palatino Linotype" w:cs="Tahoma"/>
          <w:b w:val="0"/>
          <w:sz w:val="24"/>
          <w:szCs w:val="24"/>
          <w:u w:val="none"/>
        </w:rPr>
      </w:pPr>
      <w:r w:rsidRPr="009B0EE8">
        <w:rPr>
          <w:rFonts w:ascii="Palatino Linotype" w:hAnsi="Palatino Linotype" w:cs="Tahoma"/>
          <w:b w:val="0"/>
          <w:sz w:val="24"/>
          <w:szCs w:val="24"/>
          <w:u w:val="none"/>
        </w:rPr>
        <w:t xml:space="preserve">Le dossier administratif, l’offre technique et l’offre financière sont insérées dans des enveloppes séparées et fermées, indiquant, sur chaque enveloppe, la dénomination de l’opérateur économique, la référence et l’objet de </w:t>
      </w:r>
      <w:r w:rsidR="00000663">
        <w:rPr>
          <w:rFonts w:ascii="Palatino Linotype" w:hAnsi="Palatino Linotype" w:cs="Tahoma"/>
          <w:b w:val="0"/>
          <w:sz w:val="24"/>
          <w:szCs w:val="24"/>
          <w:u w:val="none"/>
        </w:rPr>
        <w:t>l’</w:t>
      </w:r>
      <w:r w:rsidR="00000663" w:rsidRPr="00000663">
        <w:rPr>
          <w:rFonts w:ascii="Palatino Linotype" w:hAnsi="Palatino Linotype" w:cs="Tahoma"/>
          <w:b w:val="0"/>
          <w:sz w:val="24"/>
          <w:szCs w:val="24"/>
          <w:u w:val="none"/>
        </w:rPr>
        <w:t>avis de consultation</w:t>
      </w:r>
      <w:r w:rsidRPr="009B0EE8">
        <w:rPr>
          <w:rFonts w:ascii="Palatino Linotype" w:hAnsi="Palatino Linotype" w:cs="Tahoma"/>
          <w:b w:val="0"/>
          <w:sz w:val="24"/>
          <w:szCs w:val="24"/>
          <w:u w:val="none"/>
        </w:rPr>
        <w:t xml:space="preserve"> ainsi que, chaque pli correspondant, la mention, « dossier administratif », « offre technique » et « offre financière ».</w:t>
      </w:r>
    </w:p>
    <w:p w:rsidR="00D210A8" w:rsidRPr="00FB10AC" w:rsidRDefault="009B0EE8" w:rsidP="00484D48">
      <w:pPr>
        <w:tabs>
          <w:tab w:val="left" w:pos="4060"/>
        </w:tabs>
        <w:jc w:val="both"/>
        <w:rPr>
          <w:rFonts w:ascii="Palatino Linotype" w:hAnsi="Palatino Linotype" w:cs="Tahoma"/>
          <w:sz w:val="12"/>
          <w:szCs w:val="12"/>
        </w:rPr>
      </w:pPr>
      <w:r w:rsidRPr="009B0EE8">
        <w:rPr>
          <w:rFonts w:ascii="Palatino Linotype" w:hAnsi="Palatino Linotype" w:cs="Tahoma"/>
          <w:bCs/>
        </w:rPr>
        <w:t>Les trois (03) enveloppes susmentionnées sont insérées dans une s</w:t>
      </w:r>
      <w:r w:rsidR="00484D48">
        <w:rPr>
          <w:rFonts w:ascii="Palatino Linotype" w:hAnsi="Palatino Linotype" w:cs="Tahoma"/>
          <w:bCs/>
        </w:rPr>
        <w:t xml:space="preserve">eule enveloppe externe fermée </w:t>
      </w:r>
      <w:r w:rsidRPr="009B0EE8">
        <w:rPr>
          <w:rFonts w:ascii="Palatino Linotype" w:hAnsi="Palatino Linotype" w:cs="Tahoma"/>
          <w:bCs/>
        </w:rPr>
        <w:t>et anonyme, aucun signe d'identification du soumissionnaire comportant les mentions suivantes :</w:t>
      </w:r>
    </w:p>
    <w:tbl>
      <w:tblPr>
        <w:tblStyle w:val="Grilledutableau"/>
        <w:tblpPr w:leftFromText="141" w:rightFromText="141" w:vertAnchor="text" w:horzAnchor="margin" w:tblpX="250" w:tblpY="23"/>
        <w:tblW w:w="0" w:type="auto"/>
        <w:tblLook w:val="04A0"/>
      </w:tblPr>
      <w:tblGrid>
        <w:gridCol w:w="9606"/>
      </w:tblGrid>
      <w:tr w:rsidR="00B25360" w:rsidTr="00B25360">
        <w:tc>
          <w:tcPr>
            <w:tcW w:w="9606" w:type="dxa"/>
          </w:tcPr>
          <w:p w:rsidR="00B25360" w:rsidRPr="00FE2349" w:rsidRDefault="00B25360" w:rsidP="00B25360">
            <w:pPr>
              <w:pStyle w:val="NormalWeb"/>
              <w:shd w:val="clear" w:color="auto" w:fill="FFFFFF"/>
              <w:tabs>
                <w:tab w:val="left" w:pos="3015"/>
              </w:tabs>
              <w:spacing w:before="0" w:beforeAutospacing="0" w:after="0" w:afterAutospacing="0"/>
              <w:jc w:val="center"/>
              <w:rPr>
                <w:rFonts w:ascii="Palatino Linotype" w:hAnsi="Palatino Linotype" w:cs="Tahoma"/>
                <w:b/>
              </w:rPr>
            </w:pPr>
            <w:r w:rsidRPr="00FE2349">
              <w:rPr>
                <w:rFonts w:ascii="Palatino Linotype" w:hAnsi="Palatino Linotype" w:cs="Tahoma"/>
                <w:b/>
              </w:rPr>
              <w:t>ALGERIE TELECOM –SPA-</w:t>
            </w:r>
          </w:p>
          <w:p w:rsidR="00B25360" w:rsidRDefault="00B25360" w:rsidP="00B25360">
            <w:pPr>
              <w:tabs>
                <w:tab w:val="left" w:pos="4060"/>
              </w:tabs>
              <w:jc w:val="center"/>
              <w:rPr>
                <w:rFonts w:ascii="Palatino Linotype" w:hAnsi="Palatino Linotype" w:cs="Tahoma"/>
                <w:b/>
              </w:rPr>
            </w:pPr>
            <w:r w:rsidRPr="00FE2349">
              <w:rPr>
                <w:rFonts w:ascii="Palatino Linotype" w:hAnsi="Palatino Linotype" w:cs="Tahoma"/>
                <w:b/>
              </w:rPr>
              <w:t>DIRECTION OPERATIONNELLES DE TLEMCEN</w:t>
            </w:r>
            <w:r w:rsidRPr="00FB10AC">
              <w:rPr>
                <w:rFonts w:ascii="Palatino Linotype" w:hAnsi="Palatino Linotype" w:cs="Tahoma"/>
                <w:b/>
              </w:rPr>
              <w:t xml:space="preserve"> </w:t>
            </w:r>
          </w:p>
          <w:p w:rsidR="00B25360" w:rsidRPr="00FB10AC" w:rsidRDefault="00B25360" w:rsidP="00B25360">
            <w:pPr>
              <w:tabs>
                <w:tab w:val="left" w:pos="4060"/>
              </w:tabs>
              <w:jc w:val="center"/>
              <w:rPr>
                <w:rFonts w:ascii="Palatino Linotype" w:hAnsi="Palatino Linotype" w:cs="Tahoma"/>
                <w:b/>
              </w:rPr>
            </w:pPr>
            <w:r w:rsidRPr="00FB10AC">
              <w:rPr>
                <w:rFonts w:ascii="Palatino Linotype" w:hAnsi="Palatino Linotype" w:cs="Tahoma"/>
                <w:b/>
              </w:rPr>
              <w:t xml:space="preserve">AVIS DE CONSULTATION NATIONALE </w:t>
            </w:r>
          </w:p>
          <w:p w:rsidR="00B25360" w:rsidRPr="00AB5D2A" w:rsidRDefault="00B25360" w:rsidP="00B25360">
            <w:pPr>
              <w:tabs>
                <w:tab w:val="left" w:pos="4060"/>
              </w:tabs>
              <w:jc w:val="center"/>
              <w:rPr>
                <w:rFonts w:ascii="Palatino Linotype" w:hAnsi="Palatino Linotype" w:cs="Tahoma"/>
                <w:b/>
                <w:bCs/>
              </w:rPr>
            </w:pPr>
            <w:r w:rsidRPr="00AB5D2A">
              <w:rPr>
                <w:rFonts w:ascii="Palatino Linotype" w:hAnsi="Palatino Linotype" w:cs="Tahoma"/>
                <w:b/>
              </w:rPr>
              <w:t>N°1</w:t>
            </w:r>
            <w:r>
              <w:rPr>
                <w:rFonts w:ascii="Palatino Linotype" w:hAnsi="Palatino Linotype" w:cs="Tahoma"/>
                <w:b/>
              </w:rPr>
              <w:t>7</w:t>
            </w:r>
            <w:r w:rsidRPr="00AB5D2A">
              <w:rPr>
                <w:rFonts w:ascii="Palatino Linotype" w:hAnsi="Palatino Linotype" w:cs="Tahoma"/>
                <w:b/>
              </w:rPr>
              <w:t>/AT/DO13/SDFS/DAL/ACHAT/2019</w:t>
            </w:r>
          </w:p>
          <w:p w:rsidR="00B25360" w:rsidRDefault="00B25360" w:rsidP="00B25360">
            <w:pPr>
              <w:tabs>
                <w:tab w:val="left" w:pos="4060"/>
              </w:tabs>
              <w:jc w:val="center"/>
              <w:rPr>
                <w:rFonts w:ascii="Palatino Linotype" w:hAnsi="Palatino Linotype" w:cs="Tahoma"/>
                <w:b/>
              </w:rPr>
            </w:pPr>
            <w:r w:rsidRPr="00C25B2A">
              <w:rPr>
                <w:rFonts w:ascii="Palatino Linotype" w:hAnsi="Palatino Linotype" w:cs="Tahoma"/>
                <w:b/>
              </w:rPr>
              <w:t>Travaux de réalisation de canalisation et pose câble FO au profit de</w:t>
            </w:r>
            <w:r>
              <w:rPr>
                <w:rFonts w:ascii="Palatino Linotype" w:hAnsi="Palatino Linotype" w:cs="Tahoma"/>
                <w:b/>
              </w:rPr>
              <w:t xml:space="preserve"> </w:t>
            </w:r>
          </w:p>
          <w:p w:rsidR="00B25360" w:rsidRPr="00C25B2A" w:rsidRDefault="00B25360" w:rsidP="00B25360">
            <w:pPr>
              <w:tabs>
                <w:tab w:val="left" w:pos="4060"/>
              </w:tabs>
              <w:jc w:val="center"/>
              <w:rPr>
                <w:rFonts w:ascii="Palatino Linotype" w:hAnsi="Palatino Linotype" w:cs="Tahoma"/>
                <w:b/>
                <w:lang w:val="en-US"/>
              </w:rPr>
            </w:pPr>
            <w:r w:rsidRPr="00C25B2A">
              <w:rPr>
                <w:rFonts w:ascii="Palatino Linotype" w:hAnsi="Palatino Linotype" w:cs="Tahoma"/>
                <w:b/>
                <w:lang w:val="en-US"/>
              </w:rPr>
              <w:t>Lot N°01: ANNEXE APC SIDI ALI BENZEMRA</w:t>
            </w:r>
          </w:p>
          <w:p w:rsidR="00B25360" w:rsidRDefault="00B25360" w:rsidP="00B25360">
            <w:pPr>
              <w:tabs>
                <w:tab w:val="left" w:pos="4060"/>
              </w:tabs>
              <w:jc w:val="center"/>
              <w:rPr>
                <w:rFonts w:ascii="Cambria" w:hAnsi="Cambria" w:cs="Tahoma"/>
                <w:b/>
                <w:bCs/>
              </w:rPr>
            </w:pPr>
            <w:r w:rsidRPr="00B25360">
              <w:rPr>
                <w:rFonts w:ascii="Palatino Linotype" w:hAnsi="Palatino Linotype" w:cs="Tahoma"/>
                <w:b/>
                <w:lang w:val="en-US"/>
              </w:rPr>
              <w:t xml:space="preserve"> </w:t>
            </w:r>
            <w:r w:rsidRPr="00FB10AC">
              <w:rPr>
                <w:rFonts w:ascii="Palatino Linotype" w:hAnsi="Palatino Linotype" w:cs="Tahoma"/>
                <w:b/>
              </w:rPr>
              <w:t>« À n’ouvrir que par la commission d’ouverture des plis et d’évaluation des offres »</w:t>
            </w:r>
          </w:p>
        </w:tc>
      </w:tr>
    </w:tbl>
    <w:p w:rsidR="00B25360" w:rsidRPr="00FB10AC" w:rsidRDefault="00B25360" w:rsidP="00B25360">
      <w:pPr>
        <w:pStyle w:val="NormalWeb"/>
        <w:shd w:val="clear" w:color="auto" w:fill="FFFFFF"/>
        <w:tabs>
          <w:tab w:val="left" w:pos="3015"/>
        </w:tabs>
        <w:spacing w:before="0" w:beforeAutospacing="0" w:after="0" w:afterAutospacing="0"/>
        <w:jc w:val="center"/>
        <w:rPr>
          <w:rFonts w:ascii="Palatino Linotype" w:hAnsi="Palatino Linotype" w:cs="Tahoma"/>
          <w:b/>
          <w:sz w:val="22"/>
          <w:szCs w:val="22"/>
        </w:rPr>
      </w:pPr>
      <w:r w:rsidRPr="00FE2349">
        <w:rPr>
          <w:rFonts w:ascii="Palatino Linotype" w:hAnsi="Palatino Linotype" w:cs="Tahoma"/>
          <w:b/>
          <w:sz w:val="22"/>
          <w:szCs w:val="22"/>
        </w:rPr>
        <w:t xml:space="preserve"> </w:t>
      </w:r>
    </w:p>
    <w:p w:rsidR="00435BA0" w:rsidRDefault="00435BA0" w:rsidP="00D210A8">
      <w:pPr>
        <w:tabs>
          <w:tab w:val="left" w:pos="4060"/>
        </w:tabs>
        <w:rPr>
          <w:rFonts w:ascii="Palatino Linotype" w:hAnsi="Palatino Linotype" w:cs="Tahoma"/>
          <w:b/>
          <w:sz w:val="6"/>
          <w:szCs w:val="6"/>
        </w:rPr>
      </w:pPr>
    </w:p>
    <w:p w:rsidR="003E4C4C" w:rsidRPr="00FB10AC" w:rsidRDefault="00135C4E" w:rsidP="00E53BC3">
      <w:pPr>
        <w:tabs>
          <w:tab w:val="left" w:pos="4060"/>
        </w:tabs>
        <w:jc w:val="both"/>
        <w:rPr>
          <w:rFonts w:ascii="Palatino Linotype" w:hAnsi="Palatino Linotype" w:cs="Tahoma"/>
          <w:bCs/>
        </w:rPr>
      </w:pPr>
      <w:r w:rsidRPr="00FB10AC">
        <w:rPr>
          <w:rFonts w:ascii="Palatino Linotype" w:hAnsi="Palatino Linotype" w:cs="Tahoma"/>
          <w:bCs/>
        </w:rPr>
        <w:t>La durée accordée pour la préparation des offres est de</w:t>
      </w:r>
      <w:r w:rsidR="003E4C4C" w:rsidRPr="00FB10AC">
        <w:rPr>
          <w:rFonts w:ascii="Palatino Linotype" w:hAnsi="Palatino Linotype" w:cs="Tahoma"/>
          <w:bCs/>
        </w:rPr>
        <w:t xml:space="preserve"> </w:t>
      </w:r>
      <w:r w:rsidR="00673DBE" w:rsidRPr="00673DBE">
        <w:rPr>
          <w:rFonts w:ascii="Palatino Linotype" w:hAnsi="Palatino Linotype" w:cs="Tahoma"/>
          <w:b/>
        </w:rPr>
        <w:t>quinze</w:t>
      </w:r>
      <w:r w:rsidR="00673DBE">
        <w:rPr>
          <w:b/>
          <w:bCs/>
          <w:sz w:val="20"/>
          <w:szCs w:val="20"/>
        </w:rPr>
        <w:t xml:space="preserve"> </w:t>
      </w:r>
      <w:r w:rsidR="003E4C4C" w:rsidRPr="00FB10AC">
        <w:rPr>
          <w:rFonts w:ascii="Palatino Linotype" w:hAnsi="Palatino Linotype" w:cs="Tahoma"/>
          <w:b/>
        </w:rPr>
        <w:t>(</w:t>
      </w:r>
      <w:r w:rsidR="00673DBE">
        <w:rPr>
          <w:rFonts w:ascii="Palatino Linotype" w:hAnsi="Palatino Linotype" w:cs="Tahoma"/>
          <w:b/>
        </w:rPr>
        <w:t>15</w:t>
      </w:r>
      <w:r w:rsidR="003E4C4C" w:rsidRPr="00FB10AC">
        <w:rPr>
          <w:rFonts w:ascii="Palatino Linotype" w:hAnsi="Palatino Linotype" w:cs="Tahoma"/>
          <w:b/>
        </w:rPr>
        <w:t xml:space="preserve"> </w:t>
      </w:r>
      <w:r w:rsidRPr="00FB10AC">
        <w:rPr>
          <w:rFonts w:ascii="Palatino Linotype" w:hAnsi="Palatino Linotype" w:cs="Tahoma"/>
          <w:b/>
        </w:rPr>
        <w:t>jours</w:t>
      </w:r>
      <w:r w:rsidR="00077DFF" w:rsidRPr="00FB10AC">
        <w:rPr>
          <w:rFonts w:ascii="Palatino Linotype" w:hAnsi="Palatino Linotype" w:cs="Tahoma"/>
          <w:b/>
        </w:rPr>
        <w:t>)</w:t>
      </w:r>
      <w:r w:rsidRPr="00FB10AC">
        <w:rPr>
          <w:rFonts w:ascii="Palatino Linotype" w:hAnsi="Palatino Linotype" w:cs="Tahoma"/>
          <w:bCs/>
        </w:rPr>
        <w:t xml:space="preserve"> à partir </w:t>
      </w:r>
      <w:r w:rsidR="00AB3050" w:rsidRPr="00AB3050">
        <w:rPr>
          <w:rFonts w:ascii="Palatino Linotype" w:hAnsi="Palatino Linotype" w:cs="Tahoma"/>
          <w:bCs/>
        </w:rPr>
        <w:t xml:space="preserve">de la première date </w:t>
      </w:r>
      <w:r w:rsidR="00AB3050">
        <w:rPr>
          <w:rFonts w:ascii="Palatino Linotype" w:hAnsi="Palatino Linotype" w:cs="Tahoma"/>
          <w:bCs/>
        </w:rPr>
        <w:t>de parution</w:t>
      </w:r>
      <w:r w:rsidR="00AB3050" w:rsidRPr="00AB3050">
        <w:rPr>
          <w:rFonts w:ascii="Palatino Linotype" w:hAnsi="Palatino Linotype" w:cs="Tahoma"/>
          <w:bCs/>
        </w:rPr>
        <w:t xml:space="preserve"> du présent avis de consultation</w:t>
      </w:r>
      <w:r w:rsidR="00AB3050">
        <w:rPr>
          <w:rFonts w:ascii="Palatino Linotype" w:hAnsi="Palatino Linotype" w:cs="Tahoma"/>
          <w:bCs/>
        </w:rPr>
        <w:t xml:space="preserve"> nationale</w:t>
      </w:r>
      <w:r w:rsidR="00AB3050" w:rsidRPr="00AB3050">
        <w:rPr>
          <w:rFonts w:ascii="Palatino Linotype" w:hAnsi="Palatino Linotype" w:cs="Tahoma"/>
          <w:bCs/>
        </w:rPr>
        <w:t xml:space="preserve"> dans le site WEB d’ALGERIE TELECOM, à </w:t>
      </w:r>
      <w:r w:rsidR="00AB3050" w:rsidRPr="00AB3050">
        <w:rPr>
          <w:rFonts w:ascii="Palatino Linotype" w:hAnsi="Palatino Linotype" w:cs="Tahoma"/>
          <w:b/>
        </w:rPr>
        <w:t>1</w:t>
      </w:r>
      <w:r w:rsidR="00E53BC3">
        <w:rPr>
          <w:rFonts w:ascii="Palatino Linotype" w:hAnsi="Palatino Linotype" w:cs="Tahoma"/>
          <w:b/>
        </w:rPr>
        <w:t>4</w:t>
      </w:r>
      <w:r w:rsidR="00AB3050" w:rsidRPr="00AB3050">
        <w:rPr>
          <w:rFonts w:ascii="Palatino Linotype" w:hAnsi="Palatino Linotype" w:cs="Tahoma"/>
          <w:b/>
        </w:rPr>
        <w:t>H00</w:t>
      </w:r>
      <w:r w:rsidR="00AB3050" w:rsidRPr="00B342C9">
        <w:rPr>
          <w:sz w:val="20"/>
          <w:szCs w:val="20"/>
        </w:rPr>
        <w:t>.</w:t>
      </w:r>
    </w:p>
    <w:p w:rsidR="00FB10AC" w:rsidRDefault="00135C4E" w:rsidP="00E53BC3">
      <w:pPr>
        <w:tabs>
          <w:tab w:val="left" w:pos="4060"/>
        </w:tabs>
        <w:jc w:val="both"/>
        <w:rPr>
          <w:rFonts w:ascii="Palatino Linotype" w:hAnsi="Palatino Linotype" w:cs="Tahoma"/>
          <w:bCs/>
        </w:rPr>
      </w:pPr>
      <w:r w:rsidRPr="00FB10AC">
        <w:rPr>
          <w:rFonts w:ascii="Palatino Linotype" w:hAnsi="Palatino Linotype" w:cs="Tahoma"/>
          <w:bCs/>
        </w:rPr>
        <w:t>La date et heure limite de dépôt des offres est fixée au dernier jour de préparation des offres</w:t>
      </w:r>
      <w:r w:rsidR="00AB3050">
        <w:rPr>
          <w:rFonts w:ascii="Palatino Linotype" w:hAnsi="Palatino Linotype" w:cs="Tahoma"/>
          <w:bCs/>
        </w:rPr>
        <w:t xml:space="preserve"> </w:t>
      </w:r>
      <w:r w:rsidRPr="00FB10AC">
        <w:rPr>
          <w:rFonts w:ascii="Palatino Linotype" w:hAnsi="Palatino Linotype" w:cs="Tahoma"/>
          <w:bCs/>
        </w:rPr>
        <w:t xml:space="preserve">de </w:t>
      </w:r>
      <w:r w:rsidRPr="00FB10AC">
        <w:rPr>
          <w:rFonts w:ascii="Palatino Linotype" w:hAnsi="Palatino Linotype" w:cs="Tahoma"/>
          <w:b/>
        </w:rPr>
        <w:t>0</w:t>
      </w:r>
      <w:r w:rsidR="00E53BC3">
        <w:rPr>
          <w:rFonts w:ascii="Palatino Linotype" w:hAnsi="Palatino Linotype" w:cs="Tahoma"/>
          <w:b/>
        </w:rPr>
        <w:t>8</w:t>
      </w:r>
      <w:r w:rsidRPr="00FB10AC">
        <w:rPr>
          <w:rFonts w:ascii="Palatino Linotype" w:hAnsi="Palatino Linotype" w:cs="Tahoma"/>
          <w:b/>
        </w:rPr>
        <w:t>h00  à 1</w:t>
      </w:r>
      <w:r w:rsidR="00E53BC3">
        <w:rPr>
          <w:rFonts w:ascii="Palatino Linotype" w:hAnsi="Palatino Linotype" w:cs="Tahoma"/>
          <w:b/>
        </w:rPr>
        <w:t>4</w:t>
      </w:r>
      <w:r w:rsidRPr="00FB10AC">
        <w:rPr>
          <w:rFonts w:ascii="Palatino Linotype" w:hAnsi="Palatino Linotype" w:cs="Tahoma"/>
          <w:b/>
        </w:rPr>
        <w:t>h00</w:t>
      </w:r>
      <w:r w:rsidRPr="00FB10AC">
        <w:rPr>
          <w:rFonts w:ascii="Palatino Linotype" w:hAnsi="Palatino Linotype" w:cs="Tahoma"/>
          <w:bCs/>
        </w:rPr>
        <w:t xml:space="preserve">. </w:t>
      </w:r>
    </w:p>
    <w:p w:rsidR="00194A2A" w:rsidRPr="00FB10AC" w:rsidRDefault="00135C4E" w:rsidP="003E4C4C">
      <w:pPr>
        <w:tabs>
          <w:tab w:val="left" w:pos="4060"/>
        </w:tabs>
        <w:jc w:val="both"/>
        <w:rPr>
          <w:rFonts w:ascii="Palatino Linotype" w:hAnsi="Palatino Linotype" w:cs="Tahoma"/>
          <w:bCs/>
        </w:rPr>
      </w:pPr>
      <w:r w:rsidRPr="00FB10AC">
        <w:rPr>
          <w:rFonts w:ascii="Palatino Linotype" w:hAnsi="Palatino Linotype" w:cs="Tahoma"/>
          <w:bCs/>
        </w:rPr>
        <w:t>Si ce jour coïncide avec un jour férié ou un jour de repos légal, la durée de préparation des offres est prorogée jusqu'au jour ouvrable suivant.</w:t>
      </w:r>
    </w:p>
    <w:p w:rsidR="00EE40F5" w:rsidRPr="00FB10AC" w:rsidRDefault="00135C4E" w:rsidP="00D210A8">
      <w:pPr>
        <w:tabs>
          <w:tab w:val="left" w:pos="4060"/>
        </w:tabs>
        <w:jc w:val="both"/>
        <w:rPr>
          <w:rFonts w:ascii="Palatino Linotype" w:hAnsi="Palatino Linotype" w:cs="Tahoma"/>
        </w:rPr>
      </w:pPr>
      <w:r w:rsidRPr="00FB10AC">
        <w:rPr>
          <w:rFonts w:ascii="Palatino Linotype" w:hAnsi="Palatino Linotype" w:cs="Tahoma"/>
        </w:rPr>
        <w:t>Les soumissions qui parviennent après la date de dépôt des plis ne seront pas prises en considération.</w:t>
      </w:r>
    </w:p>
    <w:p w:rsidR="000E5218" w:rsidRPr="00FB10AC" w:rsidRDefault="00EE40F5" w:rsidP="00124676">
      <w:pPr>
        <w:jc w:val="both"/>
        <w:rPr>
          <w:rFonts w:ascii="Palatino Linotype" w:hAnsi="Palatino Linotype"/>
        </w:rPr>
      </w:pPr>
      <w:r w:rsidRPr="00FB10AC">
        <w:rPr>
          <w:rFonts w:ascii="Palatino Linotype" w:hAnsi="Palatino Linotype"/>
        </w:rPr>
        <w:t xml:space="preserve">Les soumissionnaires sont conviés à assister à l’ouverture des plis des offres techniques et financières, qui aura lieu en séance publique, le même jour correspondant à la date limite du dépôt des plis à </w:t>
      </w:r>
      <w:r w:rsidRPr="00FB10AC">
        <w:rPr>
          <w:rFonts w:ascii="Palatino Linotype" w:hAnsi="Palatino Linotype"/>
          <w:b/>
          <w:bCs/>
        </w:rPr>
        <w:t>1</w:t>
      </w:r>
      <w:r w:rsidR="00124676">
        <w:rPr>
          <w:rFonts w:ascii="Palatino Linotype" w:hAnsi="Palatino Linotype"/>
          <w:b/>
          <w:bCs/>
        </w:rPr>
        <w:t>4</w:t>
      </w:r>
      <w:r w:rsidRPr="00FB10AC">
        <w:rPr>
          <w:rFonts w:ascii="Palatino Linotype" w:hAnsi="Palatino Linotype"/>
          <w:b/>
          <w:bCs/>
        </w:rPr>
        <w:t>h00</w:t>
      </w:r>
      <w:r w:rsidRPr="00FB10AC">
        <w:rPr>
          <w:rFonts w:ascii="Palatino Linotype" w:hAnsi="Palatino Linotype"/>
        </w:rPr>
        <w:t xml:space="preserve"> à l’adresse précitée.</w:t>
      </w:r>
    </w:p>
    <w:p w:rsidR="00B84FC1" w:rsidRPr="00FB10AC" w:rsidRDefault="00135C4E" w:rsidP="00507F49">
      <w:pPr>
        <w:tabs>
          <w:tab w:val="left" w:pos="4060"/>
        </w:tabs>
        <w:jc w:val="both"/>
        <w:rPr>
          <w:rFonts w:ascii="Palatino Linotype" w:hAnsi="Palatino Linotype" w:cs="Tahoma"/>
        </w:rPr>
      </w:pPr>
      <w:r w:rsidRPr="00FB10AC">
        <w:rPr>
          <w:rFonts w:ascii="Palatino Linotype" w:hAnsi="Palatino Linotype" w:cs="Tahoma"/>
        </w:rPr>
        <w:t xml:space="preserve">Les candidats restent tenus par leurs offres pendant une période de </w:t>
      </w:r>
      <w:r w:rsidR="00507F49">
        <w:rPr>
          <w:rFonts w:ascii="Palatino Linotype" w:hAnsi="Palatino Linotype" w:cs="Tahoma"/>
          <w:b/>
          <w:bCs/>
        </w:rPr>
        <w:t>180</w:t>
      </w:r>
      <w:r w:rsidRPr="00FB10AC">
        <w:rPr>
          <w:rFonts w:ascii="Palatino Linotype" w:hAnsi="Palatino Linotype" w:cs="Tahoma"/>
        </w:rPr>
        <w:t xml:space="preserve"> </w:t>
      </w:r>
      <w:r w:rsidRPr="00FB10AC">
        <w:rPr>
          <w:rFonts w:ascii="Palatino Linotype" w:hAnsi="Palatino Linotype" w:cs="Tahoma"/>
          <w:b/>
          <w:bCs/>
        </w:rPr>
        <w:t>jours</w:t>
      </w:r>
      <w:r w:rsidRPr="00FB10AC">
        <w:rPr>
          <w:rFonts w:ascii="Palatino Linotype" w:hAnsi="Palatino Linotype" w:cs="Tahoma"/>
        </w:rPr>
        <w:t xml:space="preserve"> à compter de la date limite de dépôt des plis.       </w:t>
      </w:r>
    </w:p>
    <w:sectPr w:rsidR="00B84FC1" w:rsidRPr="00FB10AC" w:rsidSect="007C412F">
      <w:headerReference w:type="default" r:id="rId7"/>
      <w:footerReference w:type="default" r:id="rId8"/>
      <w:pgSz w:w="11906" w:h="16838"/>
      <w:pgMar w:top="1417" w:right="849" w:bottom="1417" w:left="993"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EA1" w:rsidRDefault="00454EA1" w:rsidP="00FC5D29">
      <w:r>
        <w:separator/>
      </w:r>
    </w:p>
  </w:endnote>
  <w:endnote w:type="continuationSeparator" w:id="0">
    <w:p w:rsidR="00454EA1" w:rsidRDefault="00454EA1" w:rsidP="00FC5D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D29" w:rsidRDefault="004578CA" w:rsidP="00FC5D29">
    <w:pPr>
      <w:pStyle w:val="Pieddepage"/>
      <w:jc w:val="center"/>
    </w:pPr>
    <w:r>
      <w:rPr>
        <w:noProof/>
      </w:rPr>
      <w:drawing>
        <wp:anchor distT="0" distB="0" distL="114300" distR="114300" simplePos="0" relativeHeight="251663360" behindDoc="0" locked="0" layoutInCell="1" allowOverlap="1">
          <wp:simplePos x="0" y="0"/>
          <wp:positionH relativeFrom="column">
            <wp:posOffset>6781165</wp:posOffset>
          </wp:positionH>
          <wp:positionV relativeFrom="paragraph">
            <wp:posOffset>9881235</wp:posOffset>
          </wp:positionV>
          <wp:extent cx="419735" cy="431800"/>
          <wp:effectExtent l="19050" t="0" r="0" b="0"/>
          <wp:wrapNone/>
          <wp:docPr id="2" name="Image 3" descr="QR-www-AT-D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R-www-AT-DZ"/>
                  <pic:cNvPicPr>
                    <a:picLocks noChangeAspect="1" noChangeArrowheads="1"/>
                  </pic:cNvPicPr>
                </pic:nvPicPr>
                <pic:blipFill>
                  <a:blip r:embed="rId1"/>
                  <a:srcRect/>
                  <a:stretch>
                    <a:fillRect/>
                  </a:stretch>
                </pic:blipFill>
                <pic:spPr bwMode="auto">
                  <a:xfrm>
                    <a:off x="0" y="0"/>
                    <a:ext cx="419735" cy="431800"/>
                  </a:xfrm>
                  <a:prstGeom prst="rect">
                    <a:avLst/>
                  </a:prstGeom>
                  <a:noFill/>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EA1" w:rsidRDefault="00454EA1" w:rsidP="00FC5D29">
      <w:r>
        <w:separator/>
      </w:r>
    </w:p>
  </w:footnote>
  <w:footnote w:type="continuationSeparator" w:id="0">
    <w:p w:rsidR="00454EA1" w:rsidRDefault="00454EA1" w:rsidP="00FC5D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A14" w:rsidRDefault="00162256" w:rsidP="00162256">
    <w:pPr>
      <w:pStyle w:val="En-tte"/>
      <w:jc w:val="center"/>
      <w:rPr>
        <w:rFonts w:asciiTheme="majorHAnsi" w:hAnsiTheme="majorHAnsi"/>
        <w:b/>
        <w:iCs/>
        <w:noProof/>
        <w:sz w:val="28"/>
        <w:szCs w:val="28"/>
      </w:rPr>
    </w:pPr>
    <w:r>
      <w:rPr>
        <w:rFonts w:asciiTheme="majorHAnsi" w:hAnsiTheme="majorHAnsi"/>
        <w:b/>
        <w:iCs/>
        <w:noProof/>
        <w:sz w:val="28"/>
        <w:szCs w:val="28"/>
      </w:rPr>
      <w:drawing>
        <wp:anchor distT="0" distB="0" distL="114300" distR="114300" simplePos="0" relativeHeight="251668480" behindDoc="0" locked="0" layoutInCell="1" allowOverlap="1">
          <wp:simplePos x="0" y="0"/>
          <wp:positionH relativeFrom="column">
            <wp:posOffset>-497205</wp:posOffset>
          </wp:positionH>
          <wp:positionV relativeFrom="paragraph">
            <wp:posOffset>38735</wp:posOffset>
          </wp:positionV>
          <wp:extent cx="1866900" cy="666750"/>
          <wp:effectExtent l="19050" t="0" r="0" b="0"/>
          <wp:wrapNone/>
          <wp:docPr id="10"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pic:nvPicPr>
                <pic:blipFill>
                  <a:blip r:embed="rId1">
                    <a:extLst/>
                  </a:blip>
                  <a:stretch>
                    <a:fillRect/>
                  </a:stretch>
                </pic:blipFill>
                <pic:spPr>
                  <a:xfrm>
                    <a:off x="0" y="0"/>
                    <a:ext cx="1866900" cy="666750"/>
                  </a:xfrm>
                  <a:prstGeom prst="rect">
                    <a:avLst/>
                  </a:prstGeom>
                  <a:ln w="12700" cap="flat">
                    <a:noFill/>
                    <a:miter lim="400000"/>
                  </a:ln>
                  <a:effectLst/>
                </pic:spPr>
              </pic:pic>
            </a:graphicData>
          </a:graphic>
        </wp:anchor>
      </w:drawing>
    </w:r>
    <w:r>
      <w:rPr>
        <w:rFonts w:asciiTheme="majorHAnsi" w:hAnsiTheme="majorHAnsi"/>
        <w:b/>
        <w:iCs/>
        <w:noProof/>
        <w:sz w:val="28"/>
        <w:szCs w:val="28"/>
      </w:rPr>
      <w:t xml:space="preserve">             </w:t>
    </w:r>
    <w:r w:rsidR="004578CA" w:rsidRPr="004578CA">
      <w:rPr>
        <w:rFonts w:asciiTheme="majorHAnsi" w:hAnsiTheme="majorHAnsi"/>
        <w:b/>
        <w:iCs/>
        <w:noProof/>
        <w:sz w:val="28"/>
        <w:szCs w:val="28"/>
      </w:rPr>
      <w:t xml:space="preserve">    </w:t>
    </w:r>
    <w:r>
      <w:rPr>
        <w:rFonts w:asciiTheme="majorHAnsi" w:hAnsiTheme="majorHAnsi"/>
        <w:b/>
        <w:iCs/>
        <w:noProof/>
        <w:sz w:val="28"/>
        <w:szCs w:val="28"/>
      </w:rPr>
      <w:t xml:space="preserve">  </w:t>
    </w:r>
    <w:r w:rsidR="004578CA" w:rsidRPr="004578CA">
      <w:rPr>
        <w:rFonts w:asciiTheme="majorHAnsi" w:hAnsiTheme="majorHAnsi"/>
        <w:b/>
        <w:iCs/>
        <w:noProof/>
        <w:sz w:val="28"/>
        <w:szCs w:val="28"/>
      </w:rPr>
      <w:t xml:space="preserve">  </w:t>
    </w:r>
  </w:p>
  <w:p w:rsidR="005A4A14" w:rsidRDefault="005A4A14" w:rsidP="00162256">
    <w:pPr>
      <w:pStyle w:val="En-tte"/>
      <w:jc w:val="center"/>
      <w:rPr>
        <w:rFonts w:asciiTheme="majorHAnsi" w:hAnsiTheme="majorHAnsi"/>
        <w:b/>
        <w:iCs/>
        <w:noProof/>
        <w:sz w:val="28"/>
        <w:szCs w:val="28"/>
      </w:rPr>
    </w:pPr>
  </w:p>
  <w:p w:rsidR="005A4A14" w:rsidRPr="007C412F" w:rsidRDefault="005A4A14" w:rsidP="007C412F">
    <w:pPr>
      <w:pStyle w:val="En-tte"/>
      <w:rPr>
        <w:rFonts w:asciiTheme="majorHAnsi" w:hAnsiTheme="majorHAnsi"/>
        <w:b/>
        <w:iCs/>
        <w:noProof/>
        <w:sz w:val="14"/>
        <w:szCs w:val="14"/>
      </w:rPr>
    </w:pPr>
  </w:p>
  <w:p w:rsidR="00FC5D29" w:rsidRDefault="004578CA" w:rsidP="007C412F">
    <w:pPr>
      <w:pStyle w:val="En-tte"/>
      <w:jc w:val="center"/>
      <w:rPr>
        <w:rFonts w:ascii="Palatino Linotype" w:hAnsi="Palatino Linotype"/>
        <w:b/>
        <w:iCs/>
        <w:noProof/>
        <w:sz w:val="22"/>
        <w:szCs w:val="22"/>
      </w:rPr>
    </w:pPr>
    <w:r w:rsidRPr="007C412F">
      <w:rPr>
        <w:rFonts w:ascii="Palatino Linotype" w:hAnsi="Palatino Linotype"/>
        <w:b/>
        <w:iCs/>
        <w:noProof/>
      </w:rPr>
      <w:t xml:space="preserve"> </w:t>
    </w:r>
    <w:r w:rsidR="005A4A14" w:rsidRPr="007C412F">
      <w:rPr>
        <w:rFonts w:ascii="Palatino Linotype" w:hAnsi="Palatino Linotype"/>
        <w:b/>
        <w:iCs/>
        <w:noProof/>
        <w:sz w:val="22"/>
        <w:szCs w:val="22"/>
      </w:rPr>
      <w:t>EPE / SPA</w:t>
    </w:r>
    <w:r w:rsidR="00162256" w:rsidRPr="007C412F">
      <w:rPr>
        <w:rFonts w:ascii="Palatino Linotype" w:hAnsi="Palatino Linotype"/>
        <w:b/>
        <w:iCs/>
        <w:noProof/>
        <w:sz w:val="22"/>
        <w:szCs w:val="22"/>
      </w:rPr>
      <w:t xml:space="preserve"> </w:t>
    </w:r>
  </w:p>
  <w:p w:rsidR="005A4A14" w:rsidRPr="007C412F" w:rsidRDefault="00555336" w:rsidP="007C412F">
    <w:pPr>
      <w:pStyle w:val="En-tte"/>
      <w:jc w:val="center"/>
      <w:rPr>
        <w:rFonts w:ascii="Palatino Linotype" w:hAnsi="Palatino Linotype"/>
        <w:b/>
        <w:iCs/>
        <w:noProof/>
        <w:sz w:val="22"/>
        <w:szCs w:val="22"/>
      </w:rPr>
    </w:pPr>
    <w:r w:rsidRPr="00555336">
      <w:rPr>
        <w:rFonts w:ascii="Palatino Linotype" w:hAnsi="Palatino Linotype"/>
        <w:b/>
        <w:iCs/>
        <w:noProof/>
        <w:sz w:val="22"/>
        <w:szCs w:val="22"/>
      </w:rPr>
      <w:t>NIF : 00216290656936</w:t>
    </w:r>
  </w:p>
  <w:p w:rsidR="005A4A14" w:rsidRPr="007C412F" w:rsidRDefault="005A4A14" w:rsidP="00027F70">
    <w:pPr>
      <w:pStyle w:val="En-tte"/>
      <w:jc w:val="center"/>
      <w:rPr>
        <w:rFonts w:ascii="Palatino Linotype" w:hAnsi="Palatino Linotype"/>
        <w:b/>
        <w:iCs/>
        <w:noProof/>
        <w:sz w:val="22"/>
        <w:szCs w:val="22"/>
      </w:rPr>
    </w:pPr>
    <w:r w:rsidRPr="007C412F">
      <w:rPr>
        <w:rFonts w:ascii="Palatino Linotype" w:hAnsi="Palatino Linotype"/>
        <w:b/>
        <w:iCs/>
        <w:noProof/>
        <w:sz w:val="22"/>
        <w:szCs w:val="22"/>
      </w:rPr>
      <w:t xml:space="preserve">     </w:t>
    </w:r>
    <w:r w:rsidR="00027F70" w:rsidRPr="007C412F">
      <w:rPr>
        <w:rFonts w:ascii="Palatino Linotype" w:hAnsi="Palatino Linotype"/>
        <w:b/>
        <w:iCs/>
        <w:noProof/>
        <w:sz w:val="22"/>
        <w:szCs w:val="22"/>
      </w:rPr>
      <w:t>SIEGE SOCIAL :</w:t>
    </w:r>
    <w:r w:rsidR="00555336" w:rsidRPr="00555336">
      <w:rPr>
        <w:rFonts w:ascii="Palatino Linotype" w:hAnsi="Palatino Linotype"/>
        <w:b/>
        <w:iCs/>
        <w:noProof/>
        <w:sz w:val="22"/>
        <w:szCs w:val="22"/>
      </w:rPr>
      <w:t xml:space="preserve"> </w:t>
    </w:r>
    <w:r w:rsidR="00962FDB" w:rsidRPr="00555336">
      <w:rPr>
        <w:rFonts w:ascii="Palatino Linotype" w:hAnsi="Palatino Linotype"/>
        <w:b/>
        <w:iCs/>
        <w:noProof/>
        <w:sz w:val="22"/>
        <w:szCs w:val="22"/>
      </w:rPr>
      <w:t>BOULEVARD PASTEUR (</w:t>
    </w:r>
    <w:r w:rsidR="00962FDB">
      <w:rPr>
        <w:rFonts w:ascii="Palatino Linotype" w:hAnsi="Palatino Linotype"/>
        <w:b/>
        <w:iCs/>
        <w:noProof/>
        <w:sz w:val="22"/>
        <w:szCs w:val="22"/>
      </w:rPr>
      <w:t xml:space="preserve">EN </w:t>
    </w:r>
    <w:r w:rsidR="00962FDB" w:rsidRPr="00555336">
      <w:rPr>
        <w:rFonts w:ascii="Palatino Linotype" w:hAnsi="Palatino Linotype"/>
        <w:b/>
        <w:iCs/>
        <w:noProof/>
        <w:sz w:val="22"/>
        <w:szCs w:val="22"/>
      </w:rPr>
      <w:t>FACE</w:t>
    </w:r>
    <w:r w:rsidR="00962FDB">
      <w:rPr>
        <w:rFonts w:ascii="Palatino Linotype" w:hAnsi="Palatino Linotype"/>
        <w:b/>
        <w:iCs/>
        <w:noProof/>
        <w:sz w:val="22"/>
        <w:szCs w:val="22"/>
      </w:rPr>
      <w:t xml:space="preserve"> SIÈGE DU </w:t>
    </w:r>
    <w:r w:rsidR="00962FDB" w:rsidRPr="00555336">
      <w:rPr>
        <w:rFonts w:ascii="Palatino Linotype" w:hAnsi="Palatino Linotype"/>
        <w:b/>
        <w:iCs/>
        <w:noProof/>
        <w:sz w:val="22"/>
        <w:szCs w:val="22"/>
      </w:rPr>
      <w:t>WILAYA) - TLEMCEN</w:t>
    </w:r>
    <w:r w:rsidR="0086473B">
      <w:rPr>
        <w:rFonts w:ascii="Palatino Linotype" w:hAnsi="Palatino Linotype"/>
        <w:b/>
        <w:iCs/>
        <w:noProof/>
        <w:sz w:val="22"/>
        <w:szCs w:val="22"/>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87706"/>
    <w:multiLevelType w:val="hybridMultilevel"/>
    <w:tmpl w:val="ED4C1CAC"/>
    <w:lvl w:ilvl="0" w:tplc="BA62E69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9915347"/>
    <w:multiLevelType w:val="hybridMultilevel"/>
    <w:tmpl w:val="039231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9A61657"/>
    <w:multiLevelType w:val="hybridMultilevel"/>
    <w:tmpl w:val="452AC0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F6D3ACD"/>
    <w:multiLevelType w:val="hybridMultilevel"/>
    <w:tmpl w:val="1506F0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2770"/>
  </w:hdrShapeDefaults>
  <w:footnotePr>
    <w:footnote w:id="-1"/>
    <w:footnote w:id="0"/>
  </w:footnotePr>
  <w:endnotePr>
    <w:endnote w:id="-1"/>
    <w:endnote w:id="0"/>
  </w:endnotePr>
  <w:compat/>
  <w:rsids>
    <w:rsidRoot w:val="00FC5D29"/>
    <w:rsid w:val="00000663"/>
    <w:rsid w:val="00000774"/>
    <w:rsid w:val="000047A0"/>
    <w:rsid w:val="00010786"/>
    <w:rsid w:val="00011357"/>
    <w:rsid w:val="00013239"/>
    <w:rsid w:val="00027F70"/>
    <w:rsid w:val="00030015"/>
    <w:rsid w:val="00030FB2"/>
    <w:rsid w:val="0003121C"/>
    <w:rsid w:val="00034DF4"/>
    <w:rsid w:val="00036620"/>
    <w:rsid w:val="00043C66"/>
    <w:rsid w:val="0004610A"/>
    <w:rsid w:val="0005023E"/>
    <w:rsid w:val="00050A71"/>
    <w:rsid w:val="0005234D"/>
    <w:rsid w:val="00055336"/>
    <w:rsid w:val="00063649"/>
    <w:rsid w:val="00063BC4"/>
    <w:rsid w:val="000642BB"/>
    <w:rsid w:val="0007355D"/>
    <w:rsid w:val="00077DFF"/>
    <w:rsid w:val="00087026"/>
    <w:rsid w:val="00087AD5"/>
    <w:rsid w:val="00091B74"/>
    <w:rsid w:val="00095293"/>
    <w:rsid w:val="000A4238"/>
    <w:rsid w:val="000A4A17"/>
    <w:rsid w:val="000A73A6"/>
    <w:rsid w:val="000A7C3E"/>
    <w:rsid w:val="000B171C"/>
    <w:rsid w:val="000B4477"/>
    <w:rsid w:val="000C6B5A"/>
    <w:rsid w:val="000D4E9D"/>
    <w:rsid w:val="000E0356"/>
    <w:rsid w:val="000E0F97"/>
    <w:rsid w:val="000E5218"/>
    <w:rsid w:val="000F6569"/>
    <w:rsid w:val="000F7E18"/>
    <w:rsid w:val="001010AB"/>
    <w:rsid w:val="00103156"/>
    <w:rsid w:val="00103B47"/>
    <w:rsid w:val="0010678E"/>
    <w:rsid w:val="00113A08"/>
    <w:rsid w:val="001152F0"/>
    <w:rsid w:val="00120386"/>
    <w:rsid w:val="00124676"/>
    <w:rsid w:val="001271FF"/>
    <w:rsid w:val="00132203"/>
    <w:rsid w:val="00135C4E"/>
    <w:rsid w:val="00142B1D"/>
    <w:rsid w:val="00146088"/>
    <w:rsid w:val="001558C9"/>
    <w:rsid w:val="00162256"/>
    <w:rsid w:val="00163FD3"/>
    <w:rsid w:val="00164A68"/>
    <w:rsid w:val="00164E7E"/>
    <w:rsid w:val="00173127"/>
    <w:rsid w:val="00176435"/>
    <w:rsid w:val="001768C9"/>
    <w:rsid w:val="001857E1"/>
    <w:rsid w:val="00185F84"/>
    <w:rsid w:val="00192F30"/>
    <w:rsid w:val="00193B8D"/>
    <w:rsid w:val="00194A2A"/>
    <w:rsid w:val="0019534A"/>
    <w:rsid w:val="00195548"/>
    <w:rsid w:val="00196D83"/>
    <w:rsid w:val="001A3186"/>
    <w:rsid w:val="001A37AA"/>
    <w:rsid w:val="001B5022"/>
    <w:rsid w:val="001C27BE"/>
    <w:rsid w:val="001C4FD8"/>
    <w:rsid w:val="001C76C6"/>
    <w:rsid w:val="001D3973"/>
    <w:rsid w:val="001D4A25"/>
    <w:rsid w:val="001D7F04"/>
    <w:rsid w:val="001D7F6D"/>
    <w:rsid w:val="001E4E72"/>
    <w:rsid w:val="001E5B14"/>
    <w:rsid w:val="001E5B1A"/>
    <w:rsid w:val="001E72BA"/>
    <w:rsid w:val="001F21CE"/>
    <w:rsid w:val="001F52CA"/>
    <w:rsid w:val="00201147"/>
    <w:rsid w:val="00203558"/>
    <w:rsid w:val="00203B73"/>
    <w:rsid w:val="00203BD2"/>
    <w:rsid w:val="002112CA"/>
    <w:rsid w:val="00214AD1"/>
    <w:rsid w:val="00216144"/>
    <w:rsid w:val="00217997"/>
    <w:rsid w:val="002377B5"/>
    <w:rsid w:val="0024091F"/>
    <w:rsid w:val="00246573"/>
    <w:rsid w:val="00255A00"/>
    <w:rsid w:val="00257B78"/>
    <w:rsid w:val="0026506A"/>
    <w:rsid w:val="0027553F"/>
    <w:rsid w:val="00286622"/>
    <w:rsid w:val="00295730"/>
    <w:rsid w:val="00297662"/>
    <w:rsid w:val="002B3B15"/>
    <w:rsid w:val="002C14EC"/>
    <w:rsid w:val="002C21BB"/>
    <w:rsid w:val="002C3166"/>
    <w:rsid w:val="002D30F2"/>
    <w:rsid w:val="002D6BD7"/>
    <w:rsid w:val="002E4949"/>
    <w:rsid w:val="002E6179"/>
    <w:rsid w:val="002F009A"/>
    <w:rsid w:val="002F0282"/>
    <w:rsid w:val="002F4B85"/>
    <w:rsid w:val="002F5491"/>
    <w:rsid w:val="002F55AF"/>
    <w:rsid w:val="00304A73"/>
    <w:rsid w:val="00313E36"/>
    <w:rsid w:val="003147A2"/>
    <w:rsid w:val="00316491"/>
    <w:rsid w:val="003255CB"/>
    <w:rsid w:val="0032705E"/>
    <w:rsid w:val="00335AC2"/>
    <w:rsid w:val="00340416"/>
    <w:rsid w:val="003422DF"/>
    <w:rsid w:val="00343303"/>
    <w:rsid w:val="0034463E"/>
    <w:rsid w:val="00345240"/>
    <w:rsid w:val="00346AB8"/>
    <w:rsid w:val="00357CD9"/>
    <w:rsid w:val="00360C7F"/>
    <w:rsid w:val="00361F45"/>
    <w:rsid w:val="003702F5"/>
    <w:rsid w:val="00371880"/>
    <w:rsid w:val="00373118"/>
    <w:rsid w:val="00374B62"/>
    <w:rsid w:val="00375E67"/>
    <w:rsid w:val="003932F8"/>
    <w:rsid w:val="003A10EF"/>
    <w:rsid w:val="003A209A"/>
    <w:rsid w:val="003B4EB4"/>
    <w:rsid w:val="003C2191"/>
    <w:rsid w:val="003D72FB"/>
    <w:rsid w:val="003E2819"/>
    <w:rsid w:val="003E2EED"/>
    <w:rsid w:val="003E4C4C"/>
    <w:rsid w:val="003F5114"/>
    <w:rsid w:val="003F7C30"/>
    <w:rsid w:val="004010AC"/>
    <w:rsid w:val="00402517"/>
    <w:rsid w:val="0040778F"/>
    <w:rsid w:val="0041018F"/>
    <w:rsid w:val="00411FA1"/>
    <w:rsid w:val="00424ABB"/>
    <w:rsid w:val="00427C04"/>
    <w:rsid w:val="00433CCD"/>
    <w:rsid w:val="00435BA0"/>
    <w:rsid w:val="0043602D"/>
    <w:rsid w:val="004370FD"/>
    <w:rsid w:val="00437956"/>
    <w:rsid w:val="004433EC"/>
    <w:rsid w:val="00445966"/>
    <w:rsid w:val="0044625C"/>
    <w:rsid w:val="004503D7"/>
    <w:rsid w:val="004505C3"/>
    <w:rsid w:val="004528CE"/>
    <w:rsid w:val="00454EA1"/>
    <w:rsid w:val="004577FC"/>
    <w:rsid w:val="004578CA"/>
    <w:rsid w:val="00457AD5"/>
    <w:rsid w:val="004616CE"/>
    <w:rsid w:val="0047005A"/>
    <w:rsid w:val="004818DE"/>
    <w:rsid w:val="00484511"/>
    <w:rsid w:val="00484D48"/>
    <w:rsid w:val="00486924"/>
    <w:rsid w:val="004A5DD2"/>
    <w:rsid w:val="004C1A1A"/>
    <w:rsid w:val="004C2614"/>
    <w:rsid w:val="004C626A"/>
    <w:rsid w:val="004D3193"/>
    <w:rsid w:val="004D5D92"/>
    <w:rsid w:val="004E2F01"/>
    <w:rsid w:val="004E4F80"/>
    <w:rsid w:val="004E63D4"/>
    <w:rsid w:val="004F59BF"/>
    <w:rsid w:val="004F5A56"/>
    <w:rsid w:val="00500EB6"/>
    <w:rsid w:val="005027C2"/>
    <w:rsid w:val="00504A6C"/>
    <w:rsid w:val="005066E6"/>
    <w:rsid w:val="00507A8C"/>
    <w:rsid w:val="00507F49"/>
    <w:rsid w:val="00510179"/>
    <w:rsid w:val="0051382B"/>
    <w:rsid w:val="00513DC9"/>
    <w:rsid w:val="00523F75"/>
    <w:rsid w:val="0053318E"/>
    <w:rsid w:val="00534CB1"/>
    <w:rsid w:val="00535006"/>
    <w:rsid w:val="00537AFB"/>
    <w:rsid w:val="0054012D"/>
    <w:rsid w:val="00545209"/>
    <w:rsid w:val="005500BF"/>
    <w:rsid w:val="00552CEE"/>
    <w:rsid w:val="0055404E"/>
    <w:rsid w:val="00555336"/>
    <w:rsid w:val="00560357"/>
    <w:rsid w:val="00562EE4"/>
    <w:rsid w:val="0056361B"/>
    <w:rsid w:val="00571073"/>
    <w:rsid w:val="005712B1"/>
    <w:rsid w:val="00581CB4"/>
    <w:rsid w:val="00584453"/>
    <w:rsid w:val="005924E3"/>
    <w:rsid w:val="005A4A14"/>
    <w:rsid w:val="005A7104"/>
    <w:rsid w:val="005A79AC"/>
    <w:rsid w:val="005B3E30"/>
    <w:rsid w:val="005B588A"/>
    <w:rsid w:val="005C67B0"/>
    <w:rsid w:val="005D0CD0"/>
    <w:rsid w:val="005D1A6D"/>
    <w:rsid w:val="005E5059"/>
    <w:rsid w:val="005E7B61"/>
    <w:rsid w:val="005F4ED5"/>
    <w:rsid w:val="005F6DC8"/>
    <w:rsid w:val="005F791F"/>
    <w:rsid w:val="006002E5"/>
    <w:rsid w:val="006036CC"/>
    <w:rsid w:val="00606BD4"/>
    <w:rsid w:val="00607D63"/>
    <w:rsid w:val="0061076D"/>
    <w:rsid w:val="006170DC"/>
    <w:rsid w:val="0062641A"/>
    <w:rsid w:val="00630B98"/>
    <w:rsid w:val="00637B4C"/>
    <w:rsid w:val="006463DF"/>
    <w:rsid w:val="0065133C"/>
    <w:rsid w:val="00653FE8"/>
    <w:rsid w:val="006573C9"/>
    <w:rsid w:val="00661CFF"/>
    <w:rsid w:val="00663088"/>
    <w:rsid w:val="0066312C"/>
    <w:rsid w:val="00673DBE"/>
    <w:rsid w:val="006756C1"/>
    <w:rsid w:val="00675DC8"/>
    <w:rsid w:val="006766AC"/>
    <w:rsid w:val="0068066C"/>
    <w:rsid w:val="00683DD1"/>
    <w:rsid w:val="00684644"/>
    <w:rsid w:val="006A26EE"/>
    <w:rsid w:val="006A3200"/>
    <w:rsid w:val="006A5012"/>
    <w:rsid w:val="006B0EFF"/>
    <w:rsid w:val="006B37FA"/>
    <w:rsid w:val="006B3917"/>
    <w:rsid w:val="006B5FA5"/>
    <w:rsid w:val="006B765B"/>
    <w:rsid w:val="006E616C"/>
    <w:rsid w:val="006F55CB"/>
    <w:rsid w:val="006F5EFE"/>
    <w:rsid w:val="00703E97"/>
    <w:rsid w:val="00704BFF"/>
    <w:rsid w:val="007078AE"/>
    <w:rsid w:val="00731483"/>
    <w:rsid w:val="00732219"/>
    <w:rsid w:val="007366A6"/>
    <w:rsid w:val="00736902"/>
    <w:rsid w:val="007436DD"/>
    <w:rsid w:val="00743CA5"/>
    <w:rsid w:val="007534FA"/>
    <w:rsid w:val="007560FB"/>
    <w:rsid w:val="00760A60"/>
    <w:rsid w:val="00760E42"/>
    <w:rsid w:val="0076306B"/>
    <w:rsid w:val="00764DAD"/>
    <w:rsid w:val="00782AC2"/>
    <w:rsid w:val="00783C37"/>
    <w:rsid w:val="00795BBB"/>
    <w:rsid w:val="007A29C8"/>
    <w:rsid w:val="007A6BE0"/>
    <w:rsid w:val="007A7714"/>
    <w:rsid w:val="007C412F"/>
    <w:rsid w:val="007C7961"/>
    <w:rsid w:val="007D2F77"/>
    <w:rsid w:val="007E5F69"/>
    <w:rsid w:val="007F2851"/>
    <w:rsid w:val="007F2C00"/>
    <w:rsid w:val="007F2FBF"/>
    <w:rsid w:val="007F4F3D"/>
    <w:rsid w:val="00804A38"/>
    <w:rsid w:val="00804DAD"/>
    <w:rsid w:val="00810B7D"/>
    <w:rsid w:val="0082677B"/>
    <w:rsid w:val="008278A2"/>
    <w:rsid w:val="00830E85"/>
    <w:rsid w:val="00833D91"/>
    <w:rsid w:val="00842418"/>
    <w:rsid w:val="008470AE"/>
    <w:rsid w:val="00847FCA"/>
    <w:rsid w:val="008501E7"/>
    <w:rsid w:val="00853007"/>
    <w:rsid w:val="00860B34"/>
    <w:rsid w:val="0086473B"/>
    <w:rsid w:val="00865551"/>
    <w:rsid w:val="008906B6"/>
    <w:rsid w:val="008937C4"/>
    <w:rsid w:val="008A51B1"/>
    <w:rsid w:val="008A67F5"/>
    <w:rsid w:val="008B705E"/>
    <w:rsid w:val="008C62A7"/>
    <w:rsid w:val="008D267A"/>
    <w:rsid w:val="008D2BDA"/>
    <w:rsid w:val="008D2EC3"/>
    <w:rsid w:val="008D6727"/>
    <w:rsid w:val="008D7D3F"/>
    <w:rsid w:val="008E036C"/>
    <w:rsid w:val="008F4221"/>
    <w:rsid w:val="008F67E7"/>
    <w:rsid w:val="008F7B74"/>
    <w:rsid w:val="009033F7"/>
    <w:rsid w:val="00904022"/>
    <w:rsid w:val="00904206"/>
    <w:rsid w:val="00906885"/>
    <w:rsid w:val="00906DC0"/>
    <w:rsid w:val="00912EF2"/>
    <w:rsid w:val="00915656"/>
    <w:rsid w:val="00924909"/>
    <w:rsid w:val="00932C87"/>
    <w:rsid w:val="00935AD9"/>
    <w:rsid w:val="00951FC2"/>
    <w:rsid w:val="00955656"/>
    <w:rsid w:val="00962FDB"/>
    <w:rsid w:val="00963074"/>
    <w:rsid w:val="00966B4F"/>
    <w:rsid w:val="009674DF"/>
    <w:rsid w:val="00976DB0"/>
    <w:rsid w:val="00980592"/>
    <w:rsid w:val="0098138E"/>
    <w:rsid w:val="0098579E"/>
    <w:rsid w:val="009858FE"/>
    <w:rsid w:val="009A024F"/>
    <w:rsid w:val="009A5748"/>
    <w:rsid w:val="009B0EE8"/>
    <w:rsid w:val="009B4AF3"/>
    <w:rsid w:val="009E56B7"/>
    <w:rsid w:val="009F1A7B"/>
    <w:rsid w:val="009F4ED5"/>
    <w:rsid w:val="009F5D9A"/>
    <w:rsid w:val="009F6E63"/>
    <w:rsid w:val="00A01ED0"/>
    <w:rsid w:val="00A10A8C"/>
    <w:rsid w:val="00A16E29"/>
    <w:rsid w:val="00A2030F"/>
    <w:rsid w:val="00A339F6"/>
    <w:rsid w:val="00A33FB9"/>
    <w:rsid w:val="00A35DC1"/>
    <w:rsid w:val="00A40A0E"/>
    <w:rsid w:val="00A44C66"/>
    <w:rsid w:val="00A45F52"/>
    <w:rsid w:val="00A47544"/>
    <w:rsid w:val="00A5631E"/>
    <w:rsid w:val="00A57B85"/>
    <w:rsid w:val="00A64EB0"/>
    <w:rsid w:val="00A64EE0"/>
    <w:rsid w:val="00A64F52"/>
    <w:rsid w:val="00A716D7"/>
    <w:rsid w:val="00A760F9"/>
    <w:rsid w:val="00A83B28"/>
    <w:rsid w:val="00A86D8E"/>
    <w:rsid w:val="00A9116B"/>
    <w:rsid w:val="00A95B6F"/>
    <w:rsid w:val="00AA0EB9"/>
    <w:rsid w:val="00AB0171"/>
    <w:rsid w:val="00AB3050"/>
    <w:rsid w:val="00AB31D0"/>
    <w:rsid w:val="00AB5D2A"/>
    <w:rsid w:val="00AD1244"/>
    <w:rsid w:val="00AD6CCB"/>
    <w:rsid w:val="00AF40E3"/>
    <w:rsid w:val="00B02BD2"/>
    <w:rsid w:val="00B215CE"/>
    <w:rsid w:val="00B22421"/>
    <w:rsid w:val="00B25360"/>
    <w:rsid w:val="00B34775"/>
    <w:rsid w:val="00B365FD"/>
    <w:rsid w:val="00B37DDD"/>
    <w:rsid w:val="00B37EEE"/>
    <w:rsid w:val="00B40F7C"/>
    <w:rsid w:val="00B42CA1"/>
    <w:rsid w:val="00B4575D"/>
    <w:rsid w:val="00B50BA7"/>
    <w:rsid w:val="00B57D70"/>
    <w:rsid w:val="00B57FEF"/>
    <w:rsid w:val="00B73879"/>
    <w:rsid w:val="00B8320D"/>
    <w:rsid w:val="00B8496B"/>
    <w:rsid w:val="00B84FC1"/>
    <w:rsid w:val="00B9076F"/>
    <w:rsid w:val="00B91AA0"/>
    <w:rsid w:val="00B93291"/>
    <w:rsid w:val="00B96360"/>
    <w:rsid w:val="00BA34BD"/>
    <w:rsid w:val="00BB6128"/>
    <w:rsid w:val="00BB6756"/>
    <w:rsid w:val="00BC6CCC"/>
    <w:rsid w:val="00BD6960"/>
    <w:rsid w:val="00BD6FD0"/>
    <w:rsid w:val="00BD7578"/>
    <w:rsid w:val="00BE09C6"/>
    <w:rsid w:val="00BE0F04"/>
    <w:rsid w:val="00BE4E47"/>
    <w:rsid w:val="00C144B2"/>
    <w:rsid w:val="00C25B2A"/>
    <w:rsid w:val="00C261BC"/>
    <w:rsid w:val="00C31ACC"/>
    <w:rsid w:val="00C405D2"/>
    <w:rsid w:val="00C43E4A"/>
    <w:rsid w:val="00C46A0E"/>
    <w:rsid w:val="00C46A60"/>
    <w:rsid w:val="00C50B48"/>
    <w:rsid w:val="00C522A4"/>
    <w:rsid w:val="00C525C3"/>
    <w:rsid w:val="00C55224"/>
    <w:rsid w:val="00C6041D"/>
    <w:rsid w:val="00C61075"/>
    <w:rsid w:val="00C74B7A"/>
    <w:rsid w:val="00C75343"/>
    <w:rsid w:val="00C774CC"/>
    <w:rsid w:val="00C919CA"/>
    <w:rsid w:val="00C928AE"/>
    <w:rsid w:val="00CA2D02"/>
    <w:rsid w:val="00CC1B7A"/>
    <w:rsid w:val="00CC1D1D"/>
    <w:rsid w:val="00CC62AD"/>
    <w:rsid w:val="00CC77D9"/>
    <w:rsid w:val="00CD5C1B"/>
    <w:rsid w:val="00CE7A09"/>
    <w:rsid w:val="00CF617F"/>
    <w:rsid w:val="00D044B7"/>
    <w:rsid w:val="00D14477"/>
    <w:rsid w:val="00D210A8"/>
    <w:rsid w:val="00D21E0B"/>
    <w:rsid w:val="00D31C68"/>
    <w:rsid w:val="00D336B2"/>
    <w:rsid w:val="00D433C1"/>
    <w:rsid w:val="00D44B47"/>
    <w:rsid w:val="00D75D10"/>
    <w:rsid w:val="00D77AD3"/>
    <w:rsid w:val="00D80154"/>
    <w:rsid w:val="00D82C5A"/>
    <w:rsid w:val="00D97338"/>
    <w:rsid w:val="00DA115E"/>
    <w:rsid w:val="00DA5665"/>
    <w:rsid w:val="00DC21B9"/>
    <w:rsid w:val="00DC4808"/>
    <w:rsid w:val="00DC5163"/>
    <w:rsid w:val="00DC6003"/>
    <w:rsid w:val="00DD31C3"/>
    <w:rsid w:val="00DD361D"/>
    <w:rsid w:val="00DD4FDA"/>
    <w:rsid w:val="00DD5662"/>
    <w:rsid w:val="00DD7990"/>
    <w:rsid w:val="00DE32CB"/>
    <w:rsid w:val="00DE58F5"/>
    <w:rsid w:val="00DE5DF4"/>
    <w:rsid w:val="00DF3D69"/>
    <w:rsid w:val="00DF7745"/>
    <w:rsid w:val="00E06243"/>
    <w:rsid w:val="00E06799"/>
    <w:rsid w:val="00E123F0"/>
    <w:rsid w:val="00E12782"/>
    <w:rsid w:val="00E141BB"/>
    <w:rsid w:val="00E15023"/>
    <w:rsid w:val="00E26796"/>
    <w:rsid w:val="00E26B90"/>
    <w:rsid w:val="00E27914"/>
    <w:rsid w:val="00E317E9"/>
    <w:rsid w:val="00E37D61"/>
    <w:rsid w:val="00E40516"/>
    <w:rsid w:val="00E45EC4"/>
    <w:rsid w:val="00E53BC3"/>
    <w:rsid w:val="00E53D39"/>
    <w:rsid w:val="00E55B70"/>
    <w:rsid w:val="00E55EFF"/>
    <w:rsid w:val="00E55F7B"/>
    <w:rsid w:val="00E600F4"/>
    <w:rsid w:val="00E6105F"/>
    <w:rsid w:val="00E610C5"/>
    <w:rsid w:val="00E61C86"/>
    <w:rsid w:val="00E80312"/>
    <w:rsid w:val="00E82B3B"/>
    <w:rsid w:val="00E85AF9"/>
    <w:rsid w:val="00E85E6E"/>
    <w:rsid w:val="00E90DC0"/>
    <w:rsid w:val="00E9395B"/>
    <w:rsid w:val="00E978E4"/>
    <w:rsid w:val="00EB06AB"/>
    <w:rsid w:val="00EB31CA"/>
    <w:rsid w:val="00EB4729"/>
    <w:rsid w:val="00ED5210"/>
    <w:rsid w:val="00EE0EF8"/>
    <w:rsid w:val="00EE1723"/>
    <w:rsid w:val="00EE40F5"/>
    <w:rsid w:val="00EE48D2"/>
    <w:rsid w:val="00F01BFA"/>
    <w:rsid w:val="00F103D0"/>
    <w:rsid w:val="00F27C07"/>
    <w:rsid w:val="00F30781"/>
    <w:rsid w:val="00F575C7"/>
    <w:rsid w:val="00F65F09"/>
    <w:rsid w:val="00F71148"/>
    <w:rsid w:val="00F735EE"/>
    <w:rsid w:val="00F77FC2"/>
    <w:rsid w:val="00F824AD"/>
    <w:rsid w:val="00F85A34"/>
    <w:rsid w:val="00F869E8"/>
    <w:rsid w:val="00F87E2B"/>
    <w:rsid w:val="00F914DF"/>
    <w:rsid w:val="00F9486B"/>
    <w:rsid w:val="00FA0A23"/>
    <w:rsid w:val="00FA2F3C"/>
    <w:rsid w:val="00FA7954"/>
    <w:rsid w:val="00FB10AC"/>
    <w:rsid w:val="00FB2043"/>
    <w:rsid w:val="00FB2CB8"/>
    <w:rsid w:val="00FB2F66"/>
    <w:rsid w:val="00FC5D29"/>
    <w:rsid w:val="00FC7842"/>
    <w:rsid w:val="00FD1C15"/>
    <w:rsid w:val="00FD39E1"/>
    <w:rsid w:val="00FE0169"/>
    <w:rsid w:val="00FE2349"/>
    <w:rsid w:val="00FE57F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D29"/>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FC5D29"/>
    <w:pPr>
      <w:ind w:left="720"/>
      <w:contextualSpacing/>
    </w:pPr>
  </w:style>
  <w:style w:type="character" w:customStyle="1" w:styleId="ParagraphedelisteCar">
    <w:name w:val="Paragraphe de liste Car"/>
    <w:basedOn w:val="Policepardfaut"/>
    <w:link w:val="Paragraphedeliste"/>
    <w:uiPriority w:val="34"/>
    <w:locked/>
    <w:rsid w:val="00FC5D29"/>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FC5D29"/>
    <w:pPr>
      <w:tabs>
        <w:tab w:val="center" w:pos="4536"/>
        <w:tab w:val="right" w:pos="9072"/>
      </w:tabs>
    </w:pPr>
  </w:style>
  <w:style w:type="character" w:customStyle="1" w:styleId="En-tteCar">
    <w:name w:val="En-tête Car"/>
    <w:basedOn w:val="Policepardfaut"/>
    <w:link w:val="En-tte"/>
    <w:uiPriority w:val="99"/>
    <w:rsid w:val="00FC5D29"/>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FC5D29"/>
    <w:pPr>
      <w:tabs>
        <w:tab w:val="center" w:pos="4536"/>
        <w:tab w:val="right" w:pos="9072"/>
      </w:tabs>
    </w:pPr>
  </w:style>
  <w:style w:type="character" w:customStyle="1" w:styleId="PieddepageCar">
    <w:name w:val="Pied de page Car"/>
    <w:basedOn w:val="Policepardfaut"/>
    <w:link w:val="Pieddepage"/>
    <w:uiPriority w:val="99"/>
    <w:rsid w:val="00FC5D29"/>
    <w:rPr>
      <w:rFonts w:ascii="Times New Roman" w:eastAsia="Times New Roman" w:hAnsi="Times New Roman" w:cs="Times New Roman"/>
      <w:sz w:val="24"/>
      <w:szCs w:val="24"/>
      <w:lang w:eastAsia="fr-FR"/>
    </w:rPr>
  </w:style>
  <w:style w:type="character" w:styleId="Lienhypertexte">
    <w:name w:val="Hyperlink"/>
    <w:uiPriority w:val="99"/>
    <w:rsid w:val="00FC5D29"/>
    <w:rPr>
      <w:color w:val="0000FF"/>
      <w:u w:val="single"/>
    </w:rPr>
  </w:style>
  <w:style w:type="paragraph" w:styleId="Textedebulles">
    <w:name w:val="Balloon Text"/>
    <w:basedOn w:val="Normal"/>
    <w:link w:val="TextedebullesCar"/>
    <w:uiPriority w:val="99"/>
    <w:semiHidden/>
    <w:unhideWhenUsed/>
    <w:rsid w:val="00C6041D"/>
    <w:rPr>
      <w:rFonts w:ascii="Tahoma" w:hAnsi="Tahoma" w:cs="Tahoma"/>
      <w:sz w:val="16"/>
      <w:szCs w:val="16"/>
    </w:rPr>
  </w:style>
  <w:style w:type="character" w:customStyle="1" w:styleId="TextedebullesCar">
    <w:name w:val="Texte de bulles Car"/>
    <w:basedOn w:val="Policepardfaut"/>
    <w:link w:val="Textedebulles"/>
    <w:uiPriority w:val="99"/>
    <w:semiHidden/>
    <w:rsid w:val="00C6041D"/>
    <w:rPr>
      <w:rFonts w:ascii="Tahoma" w:eastAsia="Times New Roman" w:hAnsi="Tahoma" w:cs="Tahoma"/>
      <w:sz w:val="16"/>
      <w:szCs w:val="16"/>
      <w:lang w:eastAsia="fr-FR"/>
    </w:rPr>
  </w:style>
  <w:style w:type="paragraph" w:customStyle="1" w:styleId="Style1">
    <w:name w:val="Style1"/>
    <w:basedOn w:val="Normal"/>
    <w:link w:val="Style1Car"/>
    <w:qFormat/>
    <w:rsid w:val="00E53BC3"/>
    <w:pPr>
      <w:spacing w:line="276" w:lineRule="auto"/>
      <w:outlineLvl w:val="0"/>
    </w:pPr>
    <w:rPr>
      <w:rFonts w:ascii="Arial" w:hAnsi="Arial"/>
      <w:b/>
      <w:bCs/>
      <w:sz w:val="32"/>
      <w:szCs w:val="32"/>
      <w:u w:val="single"/>
    </w:rPr>
  </w:style>
  <w:style w:type="character" w:customStyle="1" w:styleId="Style1Car">
    <w:name w:val="Style1 Car"/>
    <w:link w:val="Style1"/>
    <w:rsid w:val="00E53BC3"/>
    <w:rPr>
      <w:rFonts w:ascii="Arial" w:eastAsia="Times New Roman" w:hAnsi="Arial" w:cs="Times New Roman"/>
      <w:b/>
      <w:bCs/>
      <w:sz w:val="32"/>
      <w:szCs w:val="32"/>
      <w:u w:val="single"/>
      <w:lang w:eastAsia="fr-FR"/>
    </w:rPr>
  </w:style>
  <w:style w:type="paragraph" w:styleId="NormalWeb">
    <w:name w:val="Normal (Web)"/>
    <w:basedOn w:val="Normal"/>
    <w:uiPriority w:val="99"/>
    <w:unhideWhenUsed/>
    <w:rsid w:val="00FE2349"/>
    <w:pPr>
      <w:spacing w:before="100" w:beforeAutospacing="1" w:after="100" w:afterAutospacing="1"/>
    </w:pPr>
  </w:style>
  <w:style w:type="table" w:styleId="Grilledutableau">
    <w:name w:val="Table Grid"/>
    <w:basedOn w:val="TableauNormal"/>
    <w:uiPriority w:val="59"/>
    <w:rsid w:val="00B2536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5759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252</TotalTime>
  <Pages>2</Pages>
  <Words>577</Words>
  <Characters>3175</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FERHAT</dc:creator>
  <cp:lastModifiedBy>PC-RH</cp:lastModifiedBy>
  <cp:revision>32</cp:revision>
  <cp:lastPrinted>2019-09-26T09:59:00Z</cp:lastPrinted>
  <dcterms:created xsi:type="dcterms:W3CDTF">2019-04-30T10:05:00Z</dcterms:created>
  <dcterms:modified xsi:type="dcterms:W3CDTF">2019-09-26T09:59:00Z</dcterms:modified>
</cp:coreProperties>
</file>