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8E" w:rsidRPr="0082674E" w:rsidRDefault="00467B8E" w:rsidP="00641E8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14"/>
        </w:rPr>
      </w:pPr>
    </w:p>
    <w:p w:rsidR="006F7EE8" w:rsidRPr="0082674E" w:rsidRDefault="006F7EE8" w:rsidP="00A60020">
      <w:pPr>
        <w:spacing w:after="0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APPEL </w:t>
      </w:r>
      <w:r w:rsidR="00A60020"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D’OFFRES </w:t>
      </w: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OUVERT </w:t>
      </w:r>
    </w:p>
    <w:p w:rsidR="006F7EE8" w:rsidRPr="0082674E" w:rsidRDefault="006F7EE8" w:rsidP="006F7EE8">
      <w:pPr>
        <w:spacing w:after="0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AVEC EXIGENCE DE CAPACITES MINIMALES                                                    </w:t>
      </w:r>
    </w:p>
    <w:p w:rsidR="006F7EE8" w:rsidRPr="0082674E" w:rsidRDefault="00581663" w:rsidP="00C619E0">
      <w:pPr>
        <w:spacing w:after="0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>N°07</w:t>
      </w:r>
      <w:r w:rsidR="006F7EE8"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>/</w:t>
      </w:r>
      <w:r w:rsidR="006F7EE8"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DO/SDFS/DAL/2019</w:t>
      </w:r>
    </w:p>
    <w:p w:rsidR="006F7EE8" w:rsidRPr="0082674E" w:rsidRDefault="006F7EE8" w:rsidP="006F7EE8">
      <w:pPr>
        <w:spacing w:after="0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4A3852" w:rsidRPr="0082674E" w:rsidRDefault="006F7EE8" w:rsidP="00A60020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La </w:t>
      </w: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>D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irection </w:t>
      </w: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>O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pérationnelle de la wilaya de </w:t>
      </w: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>BEJAIA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sise à la rue de la liberté Bejaia  lance un appel </w:t>
      </w:r>
      <w:r w:rsidR="00A60020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d’offres ouvert avec exigence 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capacités minimales en </w:t>
      </w:r>
      <w:r w:rsidR="00406BF0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B46F58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ouze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lots séparés  pour</w:t>
      </w:r>
      <w:r w:rsidR="00A24087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les </w:t>
      </w:r>
      <w:r w:rsidR="00E524B3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TRAVAUX DE CANALISATIONS URBAINES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 :</w:t>
      </w:r>
    </w:p>
    <w:p w:rsidR="00641E85" w:rsidRPr="0082674E" w:rsidRDefault="00641E85" w:rsidP="00DB44AA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5"/>
        <w:gridCol w:w="1134"/>
        <w:gridCol w:w="1843"/>
      </w:tblGrid>
      <w:tr w:rsidR="0082674E" w:rsidRPr="0082674E" w:rsidTr="00550A06">
        <w:trPr>
          <w:trHeight w:val="740"/>
        </w:trPr>
        <w:tc>
          <w:tcPr>
            <w:tcW w:w="710" w:type="dxa"/>
            <w:shd w:val="clear" w:color="auto" w:fill="E6E6E6"/>
            <w:vAlign w:val="center"/>
          </w:tcPr>
          <w:p w:rsidR="00E9352E" w:rsidRPr="0082674E" w:rsidRDefault="00E9352E" w:rsidP="002339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N°</w:t>
            </w:r>
          </w:p>
        </w:tc>
        <w:tc>
          <w:tcPr>
            <w:tcW w:w="5385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9352E" w:rsidRPr="0082674E" w:rsidRDefault="00E9352E" w:rsidP="002339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Désignation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E9352E" w:rsidRPr="0082674E" w:rsidRDefault="00E9352E" w:rsidP="002339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Distance Km/Art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6E6E6"/>
          </w:tcPr>
          <w:p w:rsidR="00E9352E" w:rsidRPr="0082674E" w:rsidRDefault="00E9352E" w:rsidP="002339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Distance Km/</w:t>
            </w:r>
            <w:proofErr w:type="spellStart"/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Avl</w:t>
            </w:r>
            <w:proofErr w:type="spellEnd"/>
          </w:p>
        </w:tc>
      </w:tr>
      <w:tr w:rsidR="0082674E" w:rsidRPr="0082674E" w:rsidTr="00550A06">
        <w:trPr>
          <w:trHeight w:val="680"/>
        </w:trPr>
        <w:tc>
          <w:tcPr>
            <w:tcW w:w="710" w:type="dxa"/>
            <w:vAlign w:val="center"/>
          </w:tcPr>
          <w:p w:rsidR="00E34F99" w:rsidRPr="0082674E" w:rsidRDefault="00E34F99" w:rsidP="0023398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385" w:type="dxa"/>
            <w:tcBorders>
              <w:right w:val="single" w:sz="4" w:space="0" w:color="auto"/>
            </w:tcBorders>
            <w:vAlign w:val="center"/>
          </w:tcPr>
          <w:p w:rsidR="00E34F99" w:rsidRPr="0082674E" w:rsidRDefault="00E34F99" w:rsidP="00D23CBF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Extension canalisation VILLAGE RIF BORDJ MIRA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34F99" w:rsidRPr="0082674E" w:rsidRDefault="00E34F99" w:rsidP="00D23CB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1,649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34F99" w:rsidRPr="0082674E" w:rsidRDefault="00E34F99" w:rsidP="00D2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3,612</w:t>
            </w:r>
          </w:p>
        </w:tc>
      </w:tr>
      <w:tr w:rsidR="0082674E" w:rsidRPr="0082674E" w:rsidTr="00550A06">
        <w:trPr>
          <w:trHeight w:val="680"/>
        </w:trPr>
        <w:tc>
          <w:tcPr>
            <w:tcW w:w="710" w:type="dxa"/>
            <w:vAlign w:val="center"/>
          </w:tcPr>
          <w:p w:rsidR="00E34F99" w:rsidRPr="0082674E" w:rsidRDefault="00E34F99" w:rsidP="0023398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385" w:type="dxa"/>
            <w:tcBorders>
              <w:right w:val="single" w:sz="4" w:space="0" w:color="auto"/>
            </w:tcBorders>
            <w:vAlign w:val="center"/>
          </w:tcPr>
          <w:p w:rsidR="00E34F99" w:rsidRPr="0082674E" w:rsidRDefault="00E34F99" w:rsidP="00D23CBF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Extension canalisation VILLAGE MEROUAHA KHERRATA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34F99" w:rsidRPr="0082674E" w:rsidRDefault="00E34F99" w:rsidP="00D23CB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0,996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34F99" w:rsidRPr="0082674E" w:rsidRDefault="00E34F99" w:rsidP="00D2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1,992</w:t>
            </w:r>
          </w:p>
        </w:tc>
      </w:tr>
      <w:tr w:rsidR="0082674E" w:rsidRPr="0082674E" w:rsidTr="00550A06">
        <w:trPr>
          <w:trHeight w:val="680"/>
        </w:trPr>
        <w:tc>
          <w:tcPr>
            <w:tcW w:w="710" w:type="dxa"/>
            <w:vAlign w:val="center"/>
          </w:tcPr>
          <w:p w:rsidR="00E34F99" w:rsidRPr="0082674E" w:rsidRDefault="00E34F99" w:rsidP="0023398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385" w:type="dxa"/>
            <w:tcBorders>
              <w:right w:val="single" w:sz="4" w:space="0" w:color="auto"/>
            </w:tcBorders>
            <w:vAlign w:val="center"/>
          </w:tcPr>
          <w:p w:rsidR="00E34F99" w:rsidRPr="0082674E" w:rsidRDefault="00E34F99" w:rsidP="00D23CBF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Extension canalisation VILLAGE AIT MBAREK TASKARIOUT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34F99" w:rsidRPr="0082674E" w:rsidRDefault="00E34F99" w:rsidP="00D23CB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0,772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34F99" w:rsidRPr="0082674E" w:rsidRDefault="00E34F99" w:rsidP="00D2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1,544</w:t>
            </w:r>
          </w:p>
        </w:tc>
      </w:tr>
      <w:tr w:rsidR="0082674E" w:rsidRPr="0082674E" w:rsidTr="00550A06">
        <w:trPr>
          <w:trHeight w:val="680"/>
        </w:trPr>
        <w:tc>
          <w:tcPr>
            <w:tcW w:w="710" w:type="dxa"/>
            <w:vAlign w:val="center"/>
          </w:tcPr>
          <w:p w:rsidR="00E34F99" w:rsidRPr="0082674E" w:rsidRDefault="00E34F99" w:rsidP="0023398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385" w:type="dxa"/>
            <w:tcBorders>
              <w:right w:val="single" w:sz="4" w:space="0" w:color="auto"/>
            </w:tcBorders>
            <w:vAlign w:val="center"/>
          </w:tcPr>
          <w:p w:rsidR="00E34F99" w:rsidRPr="0082674E" w:rsidRDefault="00E34F99" w:rsidP="00D23CBF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Extension canalisation </w:t>
            </w:r>
            <w:proofErr w:type="spellStart"/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Tizekht</w:t>
            </w:r>
            <w:proofErr w:type="spellEnd"/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Beni </w:t>
            </w:r>
            <w:proofErr w:type="spellStart"/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34F99" w:rsidRPr="0082674E" w:rsidRDefault="00E34F99" w:rsidP="00D23CB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0,684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34F99" w:rsidRPr="0082674E" w:rsidRDefault="00E34F99" w:rsidP="00D2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1,392</w:t>
            </w:r>
          </w:p>
        </w:tc>
      </w:tr>
      <w:tr w:rsidR="0082674E" w:rsidRPr="0082674E" w:rsidTr="00550A06">
        <w:trPr>
          <w:trHeight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23398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4F99" w:rsidRPr="0082674E" w:rsidRDefault="00E34F99" w:rsidP="00D23CBF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Extension canalisation TADERT TAMOKRANT AMIZOUR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D23CB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0,66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D2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1,38</w:t>
            </w:r>
          </w:p>
        </w:tc>
      </w:tr>
      <w:tr w:rsidR="0082674E" w:rsidRPr="0082674E" w:rsidTr="00550A06">
        <w:trPr>
          <w:trHeight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23398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4F99" w:rsidRPr="0082674E" w:rsidRDefault="00E34F99" w:rsidP="00D23CBF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Extension canalisation LOT </w:t>
            </w:r>
            <w:proofErr w:type="spellStart"/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Debha</w:t>
            </w:r>
            <w:proofErr w:type="spellEnd"/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Ouadda </w:t>
            </w:r>
            <w:proofErr w:type="spellStart"/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D23CB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0,645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D2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2,16</w:t>
            </w:r>
          </w:p>
        </w:tc>
      </w:tr>
      <w:tr w:rsidR="0082674E" w:rsidRPr="0082674E" w:rsidTr="00550A06">
        <w:trPr>
          <w:trHeight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23398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4F99" w:rsidRPr="0082674E" w:rsidRDefault="00E34F99" w:rsidP="00D23CBF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Extension canalisation VILLAGE AIT BOUCHERITE SOUK EL TENINE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D23CB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0,615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D2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2,24</w:t>
            </w:r>
          </w:p>
        </w:tc>
      </w:tr>
      <w:tr w:rsidR="0082674E" w:rsidRPr="0082674E" w:rsidTr="00550A06">
        <w:trPr>
          <w:trHeight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23398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4F99" w:rsidRPr="0082674E" w:rsidRDefault="00E34F99" w:rsidP="00D23CBF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CREATION CANALISATION  VILLAGE TIDLESSINE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D23CB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0,37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D2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2674E" w:rsidRPr="0082674E" w:rsidTr="00550A06">
        <w:trPr>
          <w:trHeight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23398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4F99" w:rsidRPr="0082674E" w:rsidRDefault="00E34F99" w:rsidP="00D23CBF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Extension canalisation </w:t>
            </w:r>
            <w:proofErr w:type="spellStart"/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Tioual</w:t>
            </w:r>
            <w:proofErr w:type="spellEnd"/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Beni </w:t>
            </w:r>
            <w:proofErr w:type="spellStart"/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D23CB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0,332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D2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0,684</w:t>
            </w:r>
          </w:p>
        </w:tc>
      </w:tr>
      <w:tr w:rsidR="0082674E" w:rsidRPr="0082674E" w:rsidTr="00550A06">
        <w:trPr>
          <w:trHeight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23398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4F99" w:rsidRPr="0082674E" w:rsidRDefault="00E34F99" w:rsidP="00D23CBF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Extension canalisation VILLAGE MEDKOUR 2 TIZI NBERBER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D23CB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0,281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D2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1,004</w:t>
            </w:r>
          </w:p>
        </w:tc>
      </w:tr>
      <w:tr w:rsidR="0082674E" w:rsidRPr="0082674E" w:rsidTr="00550A06">
        <w:trPr>
          <w:trHeight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23398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4F99" w:rsidRPr="0082674E" w:rsidRDefault="00E34F99" w:rsidP="00D23CBF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Extension canalisation VILLAGE TIBRAHMINI CNE FENAIA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D23CB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0,16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D2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0,32</w:t>
            </w:r>
          </w:p>
        </w:tc>
      </w:tr>
      <w:tr w:rsidR="0082674E" w:rsidRPr="0082674E" w:rsidTr="00550A06">
        <w:trPr>
          <w:trHeight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23398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4F99" w:rsidRPr="0082674E" w:rsidRDefault="00E34F99" w:rsidP="00D23CBF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Extension canalisation PROMOTION 75 LOGTS TAFAT TAZEBOUCHT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D23CB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0,145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F99" w:rsidRPr="0082674E" w:rsidRDefault="00E34F99" w:rsidP="00D2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267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0,29</w:t>
            </w:r>
          </w:p>
        </w:tc>
      </w:tr>
    </w:tbl>
    <w:p w:rsidR="006F7EE8" w:rsidRPr="0082674E" w:rsidRDefault="006F7EE8" w:rsidP="006F7EE8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</w:t>
      </w:r>
      <w:r w:rsidR="004821EA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²</w:t>
      </w:r>
    </w:p>
    <w:p w:rsidR="00A60020" w:rsidRPr="0082674E" w:rsidRDefault="00340C86" w:rsidP="00A60020">
      <w:pPr>
        <w:spacing w:after="0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lastRenderedPageBreak/>
        <w:t xml:space="preserve">Le présent appel d’offres s’adresse uniquement aux personnes physiques et/ou morales soumissionnant seules ou dans le cadre de groupements momentanés d’entreprises, qualifiées dans le domaine des travaux de génie civil et canalisation, travaux publics, bâtiment et </w:t>
      </w:r>
      <w:r w:rsidR="00A60020"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 xml:space="preserve">hydrauliques </w:t>
      </w:r>
      <w:r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de droit algérien, ayant des capacités techniques et financières pour la réalisation du projet</w:t>
      </w:r>
      <w:r w:rsidR="00A60020"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.</w:t>
      </w:r>
    </w:p>
    <w:p w:rsidR="00A60020" w:rsidRPr="0082674E" w:rsidRDefault="006F7EE8" w:rsidP="00A60020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6F7EE8" w:rsidRPr="0082674E" w:rsidRDefault="00A60020" w:rsidP="00327749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entreprises </w:t>
      </w:r>
      <w:r w:rsidR="006F7EE8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intéressées par le présent avis sont invitées </w:t>
      </w:r>
      <w:r w:rsidR="00327749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="006F7EE8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retirer le cahier des charges auprès de la :</w:t>
      </w:r>
    </w:p>
    <w:p w:rsidR="006F7EE8" w:rsidRPr="0082674E" w:rsidRDefault="006F7EE8" w:rsidP="00A60020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Direction opérationnelle de </w:t>
      </w:r>
      <w:r w:rsidR="00A60020" w:rsidRPr="0082674E">
        <w:rPr>
          <w:rFonts w:asciiTheme="majorBidi" w:hAnsiTheme="majorBidi" w:cstheme="majorBidi"/>
          <w:b/>
          <w:color w:val="000000" w:themeColor="text1"/>
          <w:spacing w:val="-2"/>
        </w:rPr>
        <w:t>Bejaïa</w:t>
      </w:r>
    </w:p>
    <w:p w:rsidR="006F7EE8" w:rsidRPr="0082674E" w:rsidRDefault="006F7EE8" w:rsidP="00A60020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Rue de la liberté </w:t>
      </w:r>
      <w:r w:rsidR="00A60020" w:rsidRPr="0082674E">
        <w:rPr>
          <w:rFonts w:asciiTheme="majorBidi" w:hAnsiTheme="majorBidi" w:cstheme="majorBidi"/>
          <w:b/>
          <w:color w:val="000000" w:themeColor="text1"/>
          <w:spacing w:val="-2"/>
        </w:rPr>
        <w:t>Bejaïa</w:t>
      </w:r>
    </w:p>
    <w:p w:rsidR="00641E85" w:rsidRPr="0082674E" w:rsidRDefault="00641E85" w:rsidP="004A3852">
      <w:pPr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6F7EE8" w:rsidRPr="0082674E" w:rsidRDefault="006F7EE8" w:rsidP="006B1947">
      <w:pPr>
        <w:contextualSpacing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lang w:bidi="ar-DZ"/>
        </w:rPr>
      </w:pPr>
      <w:r w:rsidRPr="0082674E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Contre paiement d’un montant de</w:t>
      </w:r>
      <w:r w:rsidR="00C871BC" w:rsidRPr="0082674E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4A3852" w:rsidRPr="0082674E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deux mille dinars </w:t>
      </w:r>
      <w:r w:rsidR="00447E61" w:rsidRPr="0082674E">
        <w:rPr>
          <w:rFonts w:asciiTheme="majorBidi" w:hAnsiTheme="majorBidi" w:cstheme="majorBidi"/>
          <w:bCs/>
          <w:color w:val="000000" w:themeColor="text1"/>
          <w:sz w:val="24"/>
          <w:szCs w:val="24"/>
        </w:rPr>
        <w:t>(2000.00DA</w:t>
      </w:r>
      <w:r w:rsidRPr="0082674E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) non remboursable, représentant les frais de documentation et de reprographie, au compte de la BNA Agence 588.Compte N° </w:t>
      </w:r>
      <w:r w:rsidRPr="0082674E">
        <w:rPr>
          <w:rFonts w:asciiTheme="majorBidi" w:hAnsiTheme="majorBidi" w:cstheme="majorBidi"/>
          <w:bCs/>
          <w:color w:val="000000" w:themeColor="text1"/>
          <w:sz w:val="24"/>
          <w:szCs w:val="24"/>
          <w:rtl/>
          <w:lang w:bidi="ar-DZ"/>
        </w:rPr>
        <w:t>0010</w:t>
      </w:r>
      <w:r w:rsidRPr="0082674E">
        <w:rPr>
          <w:rFonts w:asciiTheme="majorBidi" w:hAnsiTheme="majorBidi" w:cstheme="majorBidi"/>
          <w:bCs/>
          <w:color w:val="000000" w:themeColor="text1"/>
          <w:sz w:val="24"/>
          <w:szCs w:val="24"/>
          <w:lang w:bidi="ar-DZ"/>
        </w:rPr>
        <w:t xml:space="preserve"> </w:t>
      </w:r>
      <w:r w:rsidRPr="0082674E">
        <w:rPr>
          <w:rFonts w:asciiTheme="majorBidi" w:hAnsiTheme="majorBidi" w:cstheme="majorBidi"/>
          <w:bCs/>
          <w:color w:val="000000" w:themeColor="text1"/>
          <w:sz w:val="24"/>
          <w:szCs w:val="24"/>
          <w:rtl/>
          <w:lang w:bidi="ar-DZ"/>
        </w:rPr>
        <w:t>0588</w:t>
      </w:r>
      <w:r w:rsidRPr="0082674E">
        <w:rPr>
          <w:rFonts w:asciiTheme="majorBidi" w:hAnsiTheme="majorBidi" w:cstheme="majorBidi"/>
          <w:bCs/>
          <w:color w:val="000000" w:themeColor="text1"/>
          <w:sz w:val="24"/>
          <w:szCs w:val="24"/>
          <w:lang w:bidi="ar-DZ"/>
        </w:rPr>
        <w:t xml:space="preserve"> </w:t>
      </w:r>
      <w:r w:rsidRPr="0082674E">
        <w:rPr>
          <w:rFonts w:asciiTheme="majorBidi" w:hAnsiTheme="majorBidi" w:cstheme="majorBidi"/>
          <w:bCs/>
          <w:color w:val="000000" w:themeColor="text1"/>
          <w:sz w:val="24"/>
          <w:szCs w:val="24"/>
          <w:rtl/>
          <w:lang w:bidi="ar-DZ"/>
        </w:rPr>
        <w:t>030</w:t>
      </w:r>
      <w:r w:rsidRPr="0082674E">
        <w:rPr>
          <w:rFonts w:asciiTheme="majorBidi" w:hAnsiTheme="majorBidi" w:cstheme="majorBidi"/>
          <w:bCs/>
          <w:color w:val="000000" w:themeColor="text1"/>
          <w:sz w:val="24"/>
          <w:szCs w:val="24"/>
          <w:lang w:bidi="ar-DZ"/>
        </w:rPr>
        <w:t xml:space="preserve"> </w:t>
      </w:r>
      <w:r w:rsidRPr="0082674E">
        <w:rPr>
          <w:rFonts w:asciiTheme="majorBidi" w:hAnsiTheme="majorBidi" w:cstheme="majorBidi"/>
          <w:bCs/>
          <w:color w:val="000000" w:themeColor="text1"/>
          <w:sz w:val="24"/>
          <w:szCs w:val="24"/>
          <w:rtl/>
          <w:lang w:bidi="ar-DZ"/>
        </w:rPr>
        <w:t>0</w:t>
      </w: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  <w:lang w:bidi="ar-DZ"/>
        </w:rPr>
        <w:t>000</w:t>
      </w:r>
      <w:r w:rsidRPr="0082674E">
        <w:rPr>
          <w:rFonts w:asciiTheme="majorBidi" w:hAnsiTheme="majorBidi" w:cstheme="majorBidi"/>
          <w:bCs/>
          <w:color w:val="000000" w:themeColor="text1"/>
          <w:sz w:val="24"/>
          <w:szCs w:val="24"/>
          <w:rtl/>
          <w:lang w:bidi="ar-DZ"/>
        </w:rPr>
        <w:t xml:space="preserve">0 </w:t>
      </w: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  <w:lang w:bidi="ar-DZ"/>
        </w:rPr>
        <w:t>28/51</w:t>
      </w:r>
    </w:p>
    <w:p w:rsidR="00E932CC" w:rsidRPr="0082674E" w:rsidRDefault="00E932CC" w:rsidP="006F7EE8">
      <w:pPr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F7EE8" w:rsidRPr="0082674E" w:rsidRDefault="006F7EE8" w:rsidP="006F7EE8">
      <w:pPr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Les offres doivent être composées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 :</w:t>
      </w:r>
    </w:p>
    <w:p w:rsidR="006F7EE8" w:rsidRPr="0082674E" w:rsidRDefault="006F7EE8" w:rsidP="006F7EE8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DOSSIER ADMINISTRATIF</w:t>
      </w:r>
    </w:p>
    <w:p w:rsidR="006F7EE8" w:rsidRPr="0082674E" w:rsidRDefault="006F7EE8" w:rsidP="00A60020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À insérer dans une enveloppe à part portant la mention </w:t>
      </w: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>« DOSSIER ADMINISTRATIF »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, la dénomination de l’operateur économique, l</w:t>
      </w:r>
      <w:r w:rsidR="00EE3201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a référence et l’objet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71819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EE3201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e l</w:t>
      </w:r>
      <w:r w:rsidR="00371819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'appel </w:t>
      </w:r>
      <w:r w:rsidR="00A60020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d'offres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et devant comprendre ce qui suit : </w:t>
      </w:r>
    </w:p>
    <w:p w:rsidR="004233D8" w:rsidRPr="0082674E" w:rsidRDefault="004233D8" w:rsidP="004233D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Une déclaration de probité, </w:t>
      </w:r>
      <w:r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renseignée, signée, datée et comportant le cachet de l’entreprise, établie selon le modèle joint en annexe02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 ;</w:t>
      </w:r>
    </w:p>
    <w:p w:rsidR="004233D8" w:rsidRPr="0082674E" w:rsidRDefault="004233D8" w:rsidP="00A6002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Copie </w:t>
      </w:r>
      <w:r w:rsidR="00A60020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du 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numéro d’identification fiscale « NIF » ;</w:t>
      </w:r>
    </w:p>
    <w:p w:rsidR="004233D8" w:rsidRPr="0082674E" w:rsidRDefault="004233D8" w:rsidP="004233D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Copie des statuts de l’entreprise, le cas échéant ;</w:t>
      </w:r>
    </w:p>
    <w:p w:rsidR="004233D8" w:rsidRPr="0082674E" w:rsidRDefault="004233D8" w:rsidP="004233D8">
      <w:pPr>
        <w:numPr>
          <w:ilvl w:val="0"/>
          <w:numId w:val="4"/>
        </w:numPr>
        <w:spacing w:after="0" w:line="240" w:lineRule="auto"/>
        <w:ind w:right="144"/>
        <w:jc w:val="both"/>
        <w:outlineLvl w:val="0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Délégation de pouvoir de signature, le cas échéant, établie selon le modèle joint en annexe 10 ;</w:t>
      </w:r>
    </w:p>
    <w:p w:rsidR="004233D8" w:rsidRPr="0082674E" w:rsidRDefault="004233D8" w:rsidP="004233D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Copie de l’extrait du registre du commerce ;</w:t>
      </w:r>
    </w:p>
    <w:p w:rsidR="004233D8" w:rsidRPr="0082674E" w:rsidRDefault="004233D8" w:rsidP="00A6002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Copie des attestations de mise à jour CNAS, CASNOS</w:t>
      </w:r>
      <w:r w:rsidR="00A60020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60020"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 xml:space="preserve">en </w:t>
      </w:r>
      <w:r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cours de validité ;</w:t>
      </w:r>
    </w:p>
    <w:p w:rsidR="004233D8" w:rsidRPr="0082674E" w:rsidRDefault="00A60020" w:rsidP="004233D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Copie de l’extrait de rôle </w:t>
      </w:r>
      <w:r w:rsidR="004233D8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en cours de validité, apuré ou avec échéancier de paiement ;</w:t>
      </w:r>
    </w:p>
    <w:p w:rsidR="004233D8" w:rsidRPr="0082674E" w:rsidRDefault="004233D8" w:rsidP="004233D8">
      <w:pPr>
        <w:numPr>
          <w:ilvl w:val="0"/>
          <w:numId w:val="4"/>
        </w:numPr>
        <w:spacing w:after="0" w:line="240" w:lineRule="auto"/>
        <w:ind w:right="144"/>
        <w:jc w:val="both"/>
        <w:outlineLvl w:val="0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Copie de la dernière attestation de dépôt des comptes sociaux du CNRC ;</w:t>
      </w:r>
    </w:p>
    <w:p w:rsidR="004233D8" w:rsidRPr="0082674E" w:rsidRDefault="004233D8" w:rsidP="004233D8">
      <w:pPr>
        <w:numPr>
          <w:ilvl w:val="0"/>
          <w:numId w:val="4"/>
        </w:numPr>
        <w:spacing w:after="0" w:line="240" w:lineRule="auto"/>
        <w:ind w:right="144"/>
        <w:jc w:val="both"/>
        <w:outlineLvl w:val="0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L’extrait du casier judiciaire N°03 du soumissionnaire lorsqu’il s’agit d’une personne physique et du gérant ou du directeur général de l’entreprise lorsqu’il s’agit d’une personne morale en cours de validité ;</w:t>
      </w:r>
    </w:p>
    <w:p w:rsidR="004233D8" w:rsidRPr="0082674E" w:rsidRDefault="004233D8" w:rsidP="004233D8">
      <w:pPr>
        <w:numPr>
          <w:ilvl w:val="0"/>
          <w:numId w:val="4"/>
        </w:numPr>
        <w:spacing w:after="0" w:line="240" w:lineRule="auto"/>
        <w:ind w:right="144"/>
        <w:jc w:val="both"/>
        <w:outlineLvl w:val="0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La convention de Groupement momentané, dûment signée et datée par les fondés de pouvoirs des entreprises respectives, le cas échéant.</w:t>
      </w:r>
    </w:p>
    <w:p w:rsidR="00641E85" w:rsidRPr="0082674E" w:rsidRDefault="00641E85" w:rsidP="00641E85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F7EE8" w:rsidRPr="0082674E" w:rsidRDefault="006F7EE8" w:rsidP="00641E85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L’OFFRE TECHNIQUE</w:t>
      </w:r>
    </w:p>
    <w:p w:rsidR="00746B16" w:rsidRPr="0082674E" w:rsidRDefault="00746B16" w:rsidP="00A60020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À insérer dans une enveloppe à part portant la mention </w:t>
      </w: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« DOSSIER </w:t>
      </w:r>
      <w:r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TECHNIQUE</w:t>
      </w: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»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la dénomination de l’operateur économique, la référence et l’objet de l’avis d'appel </w:t>
      </w:r>
      <w:r w:rsidR="00A60020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d'offres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et devant comprendre ce qui suit : </w:t>
      </w:r>
    </w:p>
    <w:p w:rsidR="004233D8" w:rsidRPr="0082674E" w:rsidRDefault="004233D8" w:rsidP="004233D8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11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Une déclaration à souscrire </w:t>
      </w:r>
      <w:r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renseignée, signée, datée et comportant le cachet de l’entreprise, établie selon le modèle joint en annexe 01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; </w:t>
      </w:r>
    </w:p>
    <w:p w:rsidR="004233D8" w:rsidRPr="0082674E" w:rsidRDefault="004233D8" w:rsidP="004233D8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Copie de l’attestation de qualification et classification pour les lots dont la distance est supérieure à 600 </w:t>
      </w:r>
      <w:r w:rsidRPr="0082674E">
        <w:rPr>
          <w:rFonts w:asciiTheme="majorBidi" w:hAnsiTheme="majorBidi" w:cstheme="majorBidi"/>
          <w:bCs/>
          <w:color w:val="000000" w:themeColor="text1"/>
          <w:spacing w:val="-1"/>
          <w:w w:val="105"/>
          <w:sz w:val="24"/>
          <w:szCs w:val="24"/>
        </w:rPr>
        <w:t>mètres linéaires (artère) ;</w:t>
      </w:r>
    </w:p>
    <w:p w:rsidR="004233D8" w:rsidRPr="0082674E" w:rsidRDefault="004233D8" w:rsidP="004233D8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Les références professionnelles détaillées de l’entreprise, portant principalement sur son expérience dans l’exécution des travaux de même nature, justifiées par des attestations de bonne exécution ou PV de réception ;</w:t>
      </w:r>
    </w:p>
    <w:p w:rsidR="004233D8" w:rsidRPr="0082674E" w:rsidRDefault="004233D8" w:rsidP="00A600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La lettre d’engagement sur les moyens humains à affecter pour chaque lot, établie et signée, en respectant le </w:t>
      </w:r>
      <w:r w:rsidR="00A60020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modèle 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en (ANNEXE 06) ;</w:t>
      </w:r>
    </w:p>
    <w:p w:rsidR="004233D8" w:rsidRPr="0082674E" w:rsidRDefault="004233D8" w:rsidP="00A600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lettre d’engagement sur les moyens matériels à affecter pour chaque lot, établie et signée, en respectant le </w:t>
      </w:r>
      <w:r w:rsidR="00A60020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modèle 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en (ANNEXE 07) ;</w:t>
      </w:r>
    </w:p>
    <w:p w:rsidR="004233D8" w:rsidRPr="0082674E" w:rsidRDefault="004233D8" w:rsidP="004233D8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Lettre d’engagement sur les délais d’exécution pour chaque lot (ANNEXE 08) ;</w:t>
      </w:r>
    </w:p>
    <w:p w:rsidR="004233D8" w:rsidRPr="0082674E" w:rsidRDefault="004233D8" w:rsidP="004233D8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Lettre d’engagement sur la durée de garantie pour chaque lot (ANNEXE 09) ;</w:t>
      </w:r>
    </w:p>
    <w:p w:rsidR="004233D8" w:rsidRPr="0082674E" w:rsidRDefault="004233D8" w:rsidP="00A600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présent cahier de charges portant le cachet et la signature du soumissionnaire précédés de la mention « lu et </w:t>
      </w:r>
      <w:r w:rsidR="00A60020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accepté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».</w:t>
      </w:r>
    </w:p>
    <w:p w:rsidR="006F7EE8" w:rsidRPr="0082674E" w:rsidRDefault="006F7EE8" w:rsidP="006F7EE8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F7EE8" w:rsidRPr="0082674E" w:rsidRDefault="006F7EE8" w:rsidP="006F7EE8">
      <w:pPr>
        <w:pStyle w:val="NORMALE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OFFRE FINANCIERE</w:t>
      </w:r>
    </w:p>
    <w:p w:rsidR="00467B8E" w:rsidRPr="0082674E" w:rsidRDefault="006F7EE8" w:rsidP="00A60020">
      <w:pPr>
        <w:pStyle w:val="NORMALE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À insérer dans une enveloppe à part portant la mention </w:t>
      </w: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>« OFFRE FINANCIERE »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la dénomination de l’operateur économique, la référence et l’objet de l’avis </w:t>
      </w:r>
      <w:r w:rsidR="003F546F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d'appel </w:t>
      </w:r>
      <w:r w:rsidR="00A60020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d'offres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et devant comprendre ce qui suit : </w:t>
      </w:r>
    </w:p>
    <w:p w:rsidR="00455306" w:rsidRPr="0082674E" w:rsidRDefault="00455306" w:rsidP="00455306">
      <w:pPr>
        <w:numPr>
          <w:ilvl w:val="0"/>
          <w:numId w:val="6"/>
        </w:numPr>
        <w:spacing w:before="120" w:after="0" w:line="240" w:lineRule="auto"/>
        <w:ind w:left="714" w:right="142" w:hanging="357"/>
        <w:jc w:val="both"/>
        <w:outlineLvl w:val="0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 xml:space="preserve">La lettre de soumission </w:t>
      </w:r>
      <w:r w:rsidRPr="0082674E">
        <w:rPr>
          <w:rFonts w:asciiTheme="majorBidi" w:hAnsiTheme="majorBidi" w:cstheme="majorBidi"/>
          <w:b/>
          <w:bCs/>
          <w:color w:val="000000" w:themeColor="text1"/>
          <w:spacing w:val="-1"/>
          <w:w w:val="105"/>
          <w:sz w:val="24"/>
          <w:szCs w:val="24"/>
        </w:rPr>
        <w:t>renseignée, datée, signée, datée et cachetée par le soumissionnaire, respectant le modèle joint en annexe CCAG 3</w:t>
      </w:r>
      <w:r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.</w:t>
      </w:r>
    </w:p>
    <w:p w:rsidR="00455306" w:rsidRPr="0082674E" w:rsidRDefault="00455306" w:rsidP="00455306">
      <w:pPr>
        <w:numPr>
          <w:ilvl w:val="0"/>
          <w:numId w:val="6"/>
        </w:numPr>
        <w:spacing w:before="120" w:after="0" w:line="240" w:lineRule="auto"/>
        <w:ind w:left="714" w:right="142" w:hanging="357"/>
        <w:jc w:val="both"/>
        <w:outlineLvl w:val="0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 xml:space="preserve">Le bordereau des prix unitaires daté, signé, daté et cacheté, en hors taxes, en lettres et en chiffres, joint en </w:t>
      </w:r>
      <w:r w:rsidRPr="0082674E">
        <w:rPr>
          <w:rFonts w:asciiTheme="majorBidi" w:hAnsiTheme="majorBidi" w:cstheme="majorBidi"/>
          <w:bCs/>
          <w:color w:val="000000" w:themeColor="text1"/>
          <w:spacing w:val="-1"/>
          <w:w w:val="105"/>
          <w:sz w:val="24"/>
          <w:szCs w:val="24"/>
        </w:rPr>
        <w:t>annexe 04</w:t>
      </w:r>
      <w:r w:rsidRPr="0082674E">
        <w:rPr>
          <w:rFonts w:asciiTheme="majorBidi" w:hAnsiTheme="majorBidi" w:cstheme="majorBidi"/>
          <w:b/>
          <w:bCs/>
          <w:color w:val="000000" w:themeColor="text1"/>
          <w:spacing w:val="-1"/>
          <w:w w:val="105"/>
          <w:sz w:val="24"/>
          <w:szCs w:val="24"/>
        </w:rPr>
        <w:t>.</w:t>
      </w:r>
    </w:p>
    <w:p w:rsidR="00455306" w:rsidRPr="0082674E" w:rsidRDefault="00455306" w:rsidP="00455306">
      <w:pPr>
        <w:numPr>
          <w:ilvl w:val="0"/>
          <w:numId w:val="6"/>
        </w:numPr>
        <w:spacing w:before="120" w:after="0" w:line="240" w:lineRule="auto"/>
        <w:ind w:left="714" w:right="142" w:hanging="357"/>
        <w:jc w:val="both"/>
        <w:outlineLvl w:val="0"/>
        <w:rPr>
          <w:rFonts w:asciiTheme="majorBidi" w:hAnsiTheme="majorBidi" w:cstheme="majorBidi"/>
          <w:b/>
          <w:bCs/>
          <w:color w:val="000000" w:themeColor="text1"/>
          <w:spacing w:val="-1"/>
          <w:w w:val="105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 xml:space="preserve">Le détail quantitatif et estimatif en hors taxes et en toutes taxes comprises daté, signé et cacheté, joint en </w:t>
      </w:r>
      <w:r w:rsidRPr="0082674E">
        <w:rPr>
          <w:rFonts w:asciiTheme="majorBidi" w:hAnsiTheme="majorBidi" w:cstheme="majorBidi"/>
          <w:bCs/>
          <w:color w:val="000000" w:themeColor="text1"/>
          <w:spacing w:val="-1"/>
          <w:w w:val="105"/>
          <w:sz w:val="24"/>
          <w:szCs w:val="24"/>
        </w:rPr>
        <w:t>annexe 05.</w:t>
      </w:r>
    </w:p>
    <w:p w:rsidR="00641E85" w:rsidRPr="0082674E" w:rsidRDefault="00641E85" w:rsidP="00455306">
      <w:pPr>
        <w:pStyle w:val="Style1"/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</w:pPr>
    </w:p>
    <w:p w:rsidR="00455306" w:rsidRPr="0082674E" w:rsidRDefault="00455306" w:rsidP="00455306">
      <w:pPr>
        <w:pStyle w:val="Style1"/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</w:pPr>
      <w:r w:rsidRPr="0082674E"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  <w:t>Le bordereau des prix unitaires ainsi que le détail quantitatif et estimatif seront remplis attentivement, sans rature ni surcharge, en chiffres et en lettres.</w:t>
      </w:r>
    </w:p>
    <w:p w:rsidR="00641E85" w:rsidRPr="0082674E" w:rsidRDefault="00641E85" w:rsidP="00455306">
      <w:pPr>
        <w:pStyle w:val="Style1"/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</w:pPr>
    </w:p>
    <w:p w:rsidR="00455306" w:rsidRPr="0082674E" w:rsidRDefault="00455306" w:rsidP="00455306">
      <w:pPr>
        <w:pStyle w:val="Style1"/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</w:pPr>
      <w:r w:rsidRPr="0082674E"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  <w:t>Si le bordereau des prix est incomplet ou inexploitable (raturé, surcharge, illisible…), l’offre sera rejetée.</w:t>
      </w:r>
    </w:p>
    <w:p w:rsidR="00641E85" w:rsidRPr="0082674E" w:rsidRDefault="00641E85" w:rsidP="00455306">
      <w:pPr>
        <w:pStyle w:val="Style1"/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</w:pPr>
    </w:p>
    <w:p w:rsidR="00455306" w:rsidRPr="0082674E" w:rsidRDefault="00455306" w:rsidP="00455306">
      <w:pPr>
        <w:pStyle w:val="Style1"/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</w:pPr>
      <w:r w:rsidRPr="0082674E"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  <w:t>Le soumissionnaire assumera les risques de défaut des renseignements exigés par les documents de l’appel d’offres ou de la présentation d'une offre non conforme, à tous égards aux exigences de ces documents.</w:t>
      </w:r>
    </w:p>
    <w:p w:rsidR="00746B16" w:rsidRPr="0082674E" w:rsidRDefault="00746B16" w:rsidP="006F7EE8">
      <w:pPr>
        <w:contextualSpacing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E932CC" w:rsidRPr="0082674E" w:rsidRDefault="00746B16" w:rsidP="00A60020">
      <w:pPr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Ces trois (03) enveloppes </w:t>
      </w:r>
      <w:r w:rsidR="00A60020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seront 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placées  dans une enveloppe principale qui devra être fermée et anonyme, aucun signe d’identification de l’entreprise soumissionnaire ne </w:t>
      </w:r>
      <w:r w:rsidR="00A60020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paraitra 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sur l’enveloppe extérieur et devra porter uniquement la mention </w:t>
      </w:r>
      <w:proofErr w:type="gramStart"/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suivante  :</w:t>
      </w:r>
      <w:proofErr w:type="gramEnd"/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</w:p>
    <w:p w:rsidR="00641E85" w:rsidRPr="0082674E" w:rsidRDefault="00641E85" w:rsidP="00641E85">
      <w:pPr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F7EE8" w:rsidRPr="0082674E" w:rsidRDefault="006F7EE8" w:rsidP="006F7EE8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Direction Opérationnelle de Bejaia</w:t>
      </w:r>
    </w:p>
    <w:p w:rsidR="006F7EE8" w:rsidRPr="0082674E" w:rsidRDefault="00372D02" w:rsidP="006F7EE8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  <w:r w:rsidR="0078068F"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6F7EE8"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Rue de la liberté</w:t>
      </w:r>
    </w:p>
    <w:p w:rsidR="006F7EE8" w:rsidRPr="0082674E" w:rsidRDefault="00C70707" w:rsidP="00A60020">
      <w:pPr>
        <w:tabs>
          <w:tab w:val="left" w:pos="3540"/>
          <w:tab w:val="left" w:pos="3600"/>
        </w:tabs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APPEL </w:t>
      </w:r>
      <w:r w:rsidR="00A60020"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D’OFFRES </w:t>
      </w:r>
      <w:r w:rsidR="00EB306F"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NATIONAL</w:t>
      </w:r>
      <w:r w:rsidR="006F7EE8"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OUVERT AVEC EXIGENCE DE CAPACITES MINIMALE</w:t>
      </w:r>
      <w:r w:rsidR="00EB306F"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</w:t>
      </w:r>
    </w:p>
    <w:p w:rsidR="006F7EE8" w:rsidRPr="0082674E" w:rsidRDefault="004821EA" w:rsidP="00F03935">
      <w:pPr>
        <w:tabs>
          <w:tab w:val="left" w:pos="3654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« N°07</w:t>
      </w:r>
      <w:r w:rsidR="006F7EE8"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</w:t>
      </w:r>
      <w:r w:rsidR="00EB306F"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AT/</w:t>
      </w:r>
      <w:r w:rsidR="006F7EE8"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DO</w:t>
      </w:r>
      <w:r w:rsidR="00EB306F"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BEJAIA</w:t>
      </w:r>
      <w:r w:rsidR="00C70707"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</w:t>
      </w:r>
      <w:r w:rsidR="006F7EE8"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2019»</w:t>
      </w:r>
    </w:p>
    <w:p w:rsidR="00696761" w:rsidRPr="0082674E" w:rsidRDefault="00696761" w:rsidP="00641E85">
      <w:pPr>
        <w:tabs>
          <w:tab w:val="left" w:pos="3654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« TRAVAUX DE CANALISATIONS URBAINES » </w:t>
      </w:r>
    </w:p>
    <w:p w:rsidR="006F7EE8" w:rsidRPr="0082674E" w:rsidRDefault="006F7EE8" w:rsidP="00641E85">
      <w:pPr>
        <w:tabs>
          <w:tab w:val="left" w:pos="1087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« A N’OUVRIR QUE PAR LA COMMISSION D’OUVERTURE DES PLIS ET D’EVALUATION DES OFFRES »</w:t>
      </w:r>
    </w:p>
    <w:p w:rsidR="00641E85" w:rsidRPr="0082674E" w:rsidRDefault="00641E85" w:rsidP="00641E85">
      <w:pPr>
        <w:tabs>
          <w:tab w:val="left" w:pos="1087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F03935" w:rsidRPr="0082674E" w:rsidRDefault="00F03935" w:rsidP="00641E85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F7EE8" w:rsidRPr="0082674E" w:rsidRDefault="006F7EE8" w:rsidP="00641E85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Les soumissionnaires doivent obligatoirement fournir l’ensemble des pièces indiquées ci-dessus.</w:t>
      </w:r>
    </w:p>
    <w:p w:rsidR="006F7EE8" w:rsidRPr="0082674E" w:rsidRDefault="006F7EE8" w:rsidP="00641E85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Les soumissionnaires peuvent  soumissionner pour un ou plusieurs lots.</w:t>
      </w:r>
    </w:p>
    <w:p w:rsidR="00F50C87" w:rsidRPr="0082674E" w:rsidRDefault="00F50C87" w:rsidP="00641E85">
      <w:pPr>
        <w:spacing w:after="0" w:line="240" w:lineRule="auto"/>
        <w:ind w:right="144"/>
        <w:jc w:val="both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 xml:space="preserve">La durée de préparation des offres est fixée à </w:t>
      </w:r>
      <w:r w:rsidRPr="0082674E">
        <w:rPr>
          <w:rFonts w:asciiTheme="majorBidi" w:hAnsiTheme="majorBidi" w:cstheme="majorBidi"/>
          <w:b/>
          <w:color w:val="000000" w:themeColor="text1"/>
          <w:spacing w:val="-1"/>
          <w:w w:val="105"/>
          <w:sz w:val="24"/>
          <w:szCs w:val="24"/>
        </w:rPr>
        <w:t>quinze (15) jours</w:t>
      </w:r>
      <w:r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 xml:space="preserve"> à compter de la 1</w:t>
      </w:r>
      <w:r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  <w:vertAlign w:val="superscript"/>
        </w:rPr>
        <w:t>ère</w:t>
      </w:r>
      <w:r w:rsidR="00F03935"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  <w:vertAlign w:val="superscript"/>
        </w:rPr>
        <w:t xml:space="preserve"> </w:t>
      </w:r>
      <w:r w:rsidRPr="0082674E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parution de l’avis d’appel d’offres dans la presse.</w:t>
      </w:r>
    </w:p>
    <w:p w:rsidR="00F03935" w:rsidRPr="0082674E" w:rsidRDefault="006F7EE8" w:rsidP="00F03935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date de dépôt des offres est fixée au dernier jour de préparation des offres </w:t>
      </w: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>de 08h00mn à 14h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00mn. </w:t>
      </w:r>
    </w:p>
    <w:p w:rsidR="006F7EE8" w:rsidRPr="0082674E" w:rsidRDefault="006F7EE8" w:rsidP="00F03935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Si ce jour coïncide avec un jour férié ou un jour de repos légal, la date de dépôt des offres sera prorogée  jusqu'au jour ouvrable suivant, dans les mêmes heures.</w:t>
      </w:r>
    </w:p>
    <w:p w:rsidR="006F7EE8" w:rsidRPr="0082674E" w:rsidRDefault="006F7EE8" w:rsidP="00641E85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offres qui parviennent après la date limite de dépôt des offres  ne seront pas prises en considération.  </w:t>
      </w:r>
    </w:p>
    <w:p w:rsidR="006F7EE8" w:rsidRPr="0082674E" w:rsidRDefault="006F7EE8" w:rsidP="00023541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soumissionnaires sont conviés à assister à l’ouverture des plis des dossiers administratifs, des offres techniques et financières, qui </w:t>
      </w:r>
      <w:proofErr w:type="gramStart"/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aura</w:t>
      </w:r>
      <w:proofErr w:type="gramEnd"/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lieu en séance publique, le même jour correspondant à la date de dépôt des offres à 14h </w:t>
      </w:r>
      <w:r w:rsidR="000F7C2C"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00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mn à l’adresse précitée.</w:t>
      </w:r>
    </w:p>
    <w:p w:rsidR="00641E85" w:rsidRPr="0082674E" w:rsidRDefault="006F7EE8" w:rsidP="00641E85">
      <w:pPr>
        <w:tabs>
          <w:tab w:val="left" w:pos="1087"/>
          <w:tab w:val="left" w:pos="1440"/>
        </w:tabs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Les soumissionnaires  restent  engagés par leurs offres pendant une durée  de cent quatre vingt jours (</w:t>
      </w: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>180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>) jours, à compter de la date de dépôt des offres.</w:t>
      </w:r>
      <w:r w:rsidRPr="0082674E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            </w:t>
      </w:r>
    </w:p>
    <w:p w:rsidR="006F7EE8" w:rsidRPr="0082674E" w:rsidRDefault="006F7EE8" w:rsidP="00641E85">
      <w:pPr>
        <w:tabs>
          <w:tab w:val="left" w:pos="1087"/>
          <w:tab w:val="left" w:pos="1440"/>
        </w:tabs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82674E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</w:p>
    <w:p w:rsidR="00F96B6F" w:rsidRPr="0082674E" w:rsidRDefault="00F96B6F" w:rsidP="006F7EE8">
      <w:pPr>
        <w:jc w:val="right"/>
        <w:rPr>
          <w:color w:val="000000" w:themeColor="text1"/>
          <w:u w:val="single"/>
        </w:rPr>
      </w:pPr>
      <w:bookmarkStart w:id="0" w:name="_GoBack"/>
      <w:bookmarkEnd w:id="0"/>
    </w:p>
    <w:p w:rsidR="003F546F" w:rsidRPr="0082674E" w:rsidRDefault="003F546F" w:rsidP="006F7EE8">
      <w:pPr>
        <w:jc w:val="right"/>
        <w:rPr>
          <w:color w:val="000000" w:themeColor="text1"/>
          <w:u w:val="single"/>
        </w:rPr>
      </w:pPr>
    </w:p>
    <w:p w:rsidR="006F7EE8" w:rsidRPr="0082674E" w:rsidRDefault="006F7EE8" w:rsidP="006F7EE8">
      <w:pPr>
        <w:jc w:val="right"/>
        <w:rPr>
          <w:color w:val="000000" w:themeColor="text1"/>
          <w:u w:val="single"/>
        </w:rPr>
      </w:pPr>
    </w:p>
    <w:p w:rsidR="00455306" w:rsidRPr="0082674E" w:rsidRDefault="00455306" w:rsidP="006F7EE8">
      <w:pPr>
        <w:jc w:val="right"/>
        <w:rPr>
          <w:color w:val="000000" w:themeColor="text1"/>
          <w:u w:val="single"/>
        </w:rPr>
      </w:pPr>
    </w:p>
    <w:p w:rsidR="00455306" w:rsidRPr="0082674E" w:rsidRDefault="00455306" w:rsidP="006F7EE8">
      <w:pPr>
        <w:jc w:val="right"/>
        <w:rPr>
          <w:color w:val="000000" w:themeColor="text1"/>
          <w:u w:val="single"/>
        </w:rPr>
      </w:pPr>
    </w:p>
    <w:p w:rsidR="00455306" w:rsidRPr="0082674E" w:rsidRDefault="00455306" w:rsidP="006F7EE8">
      <w:pPr>
        <w:jc w:val="right"/>
        <w:rPr>
          <w:color w:val="000000" w:themeColor="text1"/>
          <w:u w:val="single"/>
        </w:rPr>
      </w:pPr>
    </w:p>
    <w:p w:rsidR="00455306" w:rsidRPr="0082674E" w:rsidRDefault="00455306" w:rsidP="006F7EE8">
      <w:pPr>
        <w:jc w:val="right"/>
        <w:rPr>
          <w:color w:val="000000" w:themeColor="text1"/>
          <w:u w:val="single"/>
        </w:rPr>
      </w:pPr>
    </w:p>
    <w:p w:rsidR="00455306" w:rsidRPr="0082674E" w:rsidRDefault="00455306" w:rsidP="006F7EE8">
      <w:pPr>
        <w:jc w:val="right"/>
        <w:rPr>
          <w:color w:val="000000" w:themeColor="text1"/>
          <w:u w:val="single"/>
        </w:rPr>
      </w:pPr>
    </w:p>
    <w:p w:rsidR="00455306" w:rsidRPr="0082674E" w:rsidRDefault="00455306" w:rsidP="006F7EE8">
      <w:pPr>
        <w:jc w:val="right"/>
        <w:rPr>
          <w:color w:val="000000" w:themeColor="text1"/>
          <w:u w:val="single"/>
        </w:rPr>
      </w:pPr>
    </w:p>
    <w:p w:rsidR="00455306" w:rsidRPr="0082674E" w:rsidRDefault="00455306" w:rsidP="006F7EE8">
      <w:pPr>
        <w:jc w:val="right"/>
        <w:rPr>
          <w:color w:val="000000" w:themeColor="text1"/>
          <w:u w:val="single"/>
        </w:rPr>
      </w:pPr>
    </w:p>
    <w:p w:rsidR="00455306" w:rsidRPr="0082674E" w:rsidRDefault="00C10B53" w:rsidP="009C6CB6">
      <w:pPr>
        <w:rPr>
          <w:color w:val="000000" w:themeColor="text1"/>
          <w:u w:val="single"/>
        </w:rPr>
      </w:pPr>
      <w:r w:rsidRPr="0082674E">
        <w:rPr>
          <w:color w:val="000000" w:themeColor="text1"/>
          <w:u w:val="single"/>
        </w:rPr>
        <w:t xml:space="preserve">                                                               </w:t>
      </w:r>
    </w:p>
    <w:sectPr w:rsidR="00455306" w:rsidRPr="0082674E" w:rsidSect="00D65F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0E" w:rsidRDefault="0071450E" w:rsidP="006F7EE8">
      <w:pPr>
        <w:spacing w:after="0" w:line="240" w:lineRule="auto"/>
      </w:pPr>
      <w:r>
        <w:separator/>
      </w:r>
    </w:p>
  </w:endnote>
  <w:endnote w:type="continuationSeparator" w:id="0">
    <w:p w:rsidR="0071450E" w:rsidRDefault="0071450E" w:rsidP="006F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0E" w:rsidRDefault="0071450E" w:rsidP="006F7EE8">
      <w:pPr>
        <w:spacing w:after="0" w:line="240" w:lineRule="auto"/>
      </w:pPr>
      <w:r>
        <w:separator/>
      </w:r>
    </w:p>
  </w:footnote>
  <w:footnote w:type="continuationSeparator" w:id="0">
    <w:p w:rsidR="0071450E" w:rsidRDefault="0071450E" w:rsidP="006F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8E" w:rsidRPr="00641E85" w:rsidRDefault="00467B8E" w:rsidP="00467B8E">
    <w:pPr>
      <w:spacing w:after="0"/>
      <w:jc w:val="center"/>
      <w:rPr>
        <w:rFonts w:asciiTheme="majorBidi" w:hAnsiTheme="majorBidi" w:cstheme="majorBidi"/>
        <w:b/>
        <w:bCs/>
        <w:sz w:val="18"/>
        <w:szCs w:val="18"/>
        <w:lang w:bidi="ar-DZ"/>
      </w:rPr>
    </w:pPr>
    <w:r w:rsidRPr="00641E85">
      <w:rPr>
        <w:rFonts w:asciiTheme="majorBidi" w:hAnsiTheme="majorBidi" w:cstheme="majorBidi"/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-205740</wp:posOffset>
          </wp:positionV>
          <wp:extent cx="1228725" cy="594360"/>
          <wp:effectExtent l="19050" t="0" r="9525" b="0"/>
          <wp:wrapTight wrapText="bothSides">
            <wp:wrapPolygon edited="0">
              <wp:start x="-335" y="0"/>
              <wp:lineTo x="-335" y="20769"/>
              <wp:lineTo x="21767" y="20769"/>
              <wp:lineTo x="21767" y="0"/>
              <wp:lineTo x="-335" y="0"/>
            </wp:wrapPolygon>
          </wp:wrapTight>
          <wp:docPr id="2" name="Image 9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1E85">
      <w:rPr>
        <w:rFonts w:asciiTheme="majorBidi" w:hAnsiTheme="majorBidi" w:cstheme="majorBidi"/>
        <w:b/>
        <w:bCs/>
        <w:sz w:val="18"/>
        <w:szCs w:val="18"/>
        <w:lang w:bidi="ar-DZ"/>
      </w:rPr>
      <w:t>ALGERIE TELECOM</w:t>
    </w:r>
  </w:p>
  <w:p w:rsidR="00467B8E" w:rsidRPr="00641E85" w:rsidRDefault="00467B8E" w:rsidP="00467B8E">
    <w:pPr>
      <w:pStyle w:val="Sansinterligne"/>
      <w:ind w:right="565"/>
      <w:jc w:val="center"/>
      <w:rPr>
        <w:rFonts w:asciiTheme="majorBidi" w:hAnsiTheme="majorBidi" w:cstheme="majorBidi"/>
        <w:b/>
        <w:bCs/>
        <w:sz w:val="18"/>
        <w:szCs w:val="18"/>
      </w:rPr>
    </w:pPr>
    <w:r w:rsidRPr="00641E85">
      <w:rPr>
        <w:rFonts w:asciiTheme="majorBidi" w:hAnsiTheme="majorBidi" w:cstheme="majorBidi"/>
        <w:b/>
        <w:bCs/>
        <w:sz w:val="18"/>
        <w:szCs w:val="18"/>
      </w:rPr>
      <w:t xml:space="preserve">Algérie Télécom  EPE /SPA au Capital Social de 61.275.180.000,00 DA </w:t>
    </w:r>
  </w:p>
  <w:p w:rsidR="00467B8E" w:rsidRPr="00641E85" w:rsidRDefault="00467B8E" w:rsidP="00467B8E">
    <w:pPr>
      <w:spacing w:after="0"/>
      <w:jc w:val="center"/>
      <w:rPr>
        <w:rFonts w:asciiTheme="majorBidi" w:hAnsiTheme="majorBidi" w:cstheme="majorBidi"/>
        <w:b/>
        <w:sz w:val="18"/>
        <w:szCs w:val="18"/>
      </w:rPr>
    </w:pPr>
    <w:r w:rsidRPr="00641E85">
      <w:rPr>
        <w:rFonts w:asciiTheme="majorBidi" w:hAnsiTheme="majorBidi" w:cstheme="majorBidi"/>
        <w:b/>
        <w:sz w:val="18"/>
        <w:szCs w:val="18"/>
      </w:rPr>
      <w:t>NIF :</w:t>
    </w:r>
    <w:r w:rsidRPr="00641E85">
      <w:rPr>
        <w:rFonts w:asciiTheme="majorBidi" w:hAnsiTheme="majorBidi" w:cstheme="majorBidi"/>
        <w:sz w:val="18"/>
        <w:szCs w:val="18"/>
      </w:rPr>
      <w:t xml:space="preserve"> </w:t>
    </w:r>
    <w:r w:rsidRPr="00641E85">
      <w:rPr>
        <w:rFonts w:asciiTheme="majorBidi" w:hAnsiTheme="majorBidi" w:cstheme="majorBidi"/>
        <w:b/>
        <w:sz w:val="18"/>
        <w:szCs w:val="18"/>
      </w:rPr>
      <w:t>000 216 299 033 049</w:t>
    </w:r>
  </w:p>
  <w:p w:rsidR="00467B8E" w:rsidRPr="00641E85" w:rsidRDefault="00467B8E" w:rsidP="00467B8E">
    <w:pPr>
      <w:pStyle w:val="En-tte"/>
      <w:jc w:val="center"/>
      <w:rPr>
        <w:rFonts w:asciiTheme="majorBidi" w:hAnsiTheme="majorBidi" w:cstheme="majorBidi"/>
        <w:sz w:val="24"/>
        <w:szCs w:val="24"/>
      </w:rPr>
    </w:pPr>
    <w:r w:rsidRPr="00641E85">
      <w:rPr>
        <w:rFonts w:asciiTheme="majorBidi" w:hAnsiTheme="majorBidi" w:cstheme="majorBidi"/>
        <w:b/>
        <w:bCs/>
        <w:sz w:val="18"/>
        <w:szCs w:val="18"/>
      </w:rPr>
      <w:t>DIRECTION OPERATIONNELLE DE BEJAIA</w:t>
    </w:r>
    <w:r w:rsidRPr="00641E85">
      <w:rPr>
        <w:rFonts w:asciiTheme="majorBidi" w:hAnsiTheme="majorBidi" w:cstheme="majorBidi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024"/>
      </v:shape>
    </w:pict>
  </w:numPicBullet>
  <w:abstractNum w:abstractNumId="0">
    <w:nsid w:val="121B4494"/>
    <w:multiLevelType w:val="hybridMultilevel"/>
    <w:tmpl w:val="251037F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28A73A2"/>
    <w:multiLevelType w:val="hybridMultilevel"/>
    <w:tmpl w:val="DFDE0016"/>
    <w:lvl w:ilvl="0" w:tplc="E5EE6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A1601"/>
    <w:multiLevelType w:val="multilevel"/>
    <w:tmpl w:val="617AFCBE"/>
    <w:lvl w:ilvl="0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b w:val="0"/>
        <w:bCs/>
        <w:snapToGrid/>
        <w:color w:val="141414"/>
        <w:spacing w:val="1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E0C57F1"/>
    <w:multiLevelType w:val="hybridMultilevel"/>
    <w:tmpl w:val="DDFA5858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286A31E7"/>
    <w:multiLevelType w:val="hybridMultilevel"/>
    <w:tmpl w:val="6FCED0D6"/>
    <w:lvl w:ilvl="0" w:tplc="29A05B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20BD9"/>
    <w:multiLevelType w:val="hybridMultilevel"/>
    <w:tmpl w:val="6DBE8334"/>
    <w:lvl w:ilvl="0" w:tplc="29A05B6E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E8"/>
    <w:rsid w:val="00006139"/>
    <w:rsid w:val="00023541"/>
    <w:rsid w:val="00042175"/>
    <w:rsid w:val="00051D59"/>
    <w:rsid w:val="000F7C2C"/>
    <w:rsid w:val="001214E7"/>
    <w:rsid w:val="00190CE7"/>
    <w:rsid w:val="00210E83"/>
    <w:rsid w:val="002E16B9"/>
    <w:rsid w:val="00320C3B"/>
    <w:rsid w:val="00327749"/>
    <w:rsid w:val="00340C86"/>
    <w:rsid w:val="00371819"/>
    <w:rsid w:val="00372D02"/>
    <w:rsid w:val="003E204F"/>
    <w:rsid w:val="003F408B"/>
    <w:rsid w:val="003F546F"/>
    <w:rsid w:val="00406BF0"/>
    <w:rsid w:val="004233D8"/>
    <w:rsid w:val="00447E61"/>
    <w:rsid w:val="00455306"/>
    <w:rsid w:val="0046528E"/>
    <w:rsid w:val="00467B8E"/>
    <w:rsid w:val="004821EA"/>
    <w:rsid w:val="004928BF"/>
    <w:rsid w:val="004A312B"/>
    <w:rsid w:val="004A3852"/>
    <w:rsid w:val="004B0F9F"/>
    <w:rsid w:val="004B3B6F"/>
    <w:rsid w:val="00550A06"/>
    <w:rsid w:val="00565752"/>
    <w:rsid w:val="00581663"/>
    <w:rsid w:val="00583077"/>
    <w:rsid w:val="005A01B3"/>
    <w:rsid w:val="005C3008"/>
    <w:rsid w:val="005F69AD"/>
    <w:rsid w:val="006245A6"/>
    <w:rsid w:val="00641E85"/>
    <w:rsid w:val="00645966"/>
    <w:rsid w:val="00680131"/>
    <w:rsid w:val="00696761"/>
    <w:rsid w:val="006A36B6"/>
    <w:rsid w:val="006A6718"/>
    <w:rsid w:val="006B1947"/>
    <w:rsid w:val="006E7C0A"/>
    <w:rsid w:val="006F7EE8"/>
    <w:rsid w:val="0071450E"/>
    <w:rsid w:val="0073796B"/>
    <w:rsid w:val="00746B16"/>
    <w:rsid w:val="0078068F"/>
    <w:rsid w:val="007C71A8"/>
    <w:rsid w:val="0082674E"/>
    <w:rsid w:val="00907DBE"/>
    <w:rsid w:val="009B373F"/>
    <w:rsid w:val="009C6CB6"/>
    <w:rsid w:val="00A029A9"/>
    <w:rsid w:val="00A02D78"/>
    <w:rsid w:val="00A1592F"/>
    <w:rsid w:val="00A169AD"/>
    <w:rsid w:val="00A24087"/>
    <w:rsid w:val="00A42A31"/>
    <w:rsid w:val="00A5785D"/>
    <w:rsid w:val="00A60020"/>
    <w:rsid w:val="00A71CD6"/>
    <w:rsid w:val="00A93334"/>
    <w:rsid w:val="00AF3377"/>
    <w:rsid w:val="00AF7567"/>
    <w:rsid w:val="00B25F22"/>
    <w:rsid w:val="00B301DB"/>
    <w:rsid w:val="00B45D7B"/>
    <w:rsid w:val="00B46F58"/>
    <w:rsid w:val="00B61C15"/>
    <w:rsid w:val="00B938C8"/>
    <w:rsid w:val="00BA0DD1"/>
    <w:rsid w:val="00BC097E"/>
    <w:rsid w:val="00BF39A1"/>
    <w:rsid w:val="00C10B53"/>
    <w:rsid w:val="00C619E0"/>
    <w:rsid w:val="00C70707"/>
    <w:rsid w:val="00C8010E"/>
    <w:rsid w:val="00C871BC"/>
    <w:rsid w:val="00CE7BAF"/>
    <w:rsid w:val="00D65FBD"/>
    <w:rsid w:val="00D83701"/>
    <w:rsid w:val="00DB44AA"/>
    <w:rsid w:val="00DC16F3"/>
    <w:rsid w:val="00E34F99"/>
    <w:rsid w:val="00E524B3"/>
    <w:rsid w:val="00E85A54"/>
    <w:rsid w:val="00E932CC"/>
    <w:rsid w:val="00E9352E"/>
    <w:rsid w:val="00E9623D"/>
    <w:rsid w:val="00EB306F"/>
    <w:rsid w:val="00ED0F7D"/>
    <w:rsid w:val="00EE3201"/>
    <w:rsid w:val="00F03935"/>
    <w:rsid w:val="00F50C87"/>
    <w:rsid w:val="00F96B6F"/>
    <w:rsid w:val="00FB0D56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99"/>
    <w:qFormat/>
    <w:rsid w:val="006F7EE8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link w:val="Paragraphedeliste"/>
    <w:uiPriority w:val="99"/>
    <w:locked/>
    <w:rsid w:val="006F7EE8"/>
    <w:rPr>
      <w:rFonts w:eastAsiaTheme="minorHAnsi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6F7EE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F7EE8"/>
  </w:style>
  <w:style w:type="paragraph" w:customStyle="1" w:styleId="NORMALE">
    <w:name w:val="NORMALE"/>
    <w:basedOn w:val="Corpsdetexte2"/>
    <w:rsid w:val="006F7EE8"/>
    <w:pPr>
      <w:spacing w:after="0" w:line="240" w:lineRule="auto"/>
      <w:jc w:val="both"/>
      <w:outlineLvl w:val="0"/>
    </w:pPr>
    <w:rPr>
      <w:rFonts w:ascii="Arial Narrow" w:eastAsia="Times New Roman" w:hAnsi="Arial Narrow" w:cs="Arial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6F7EE8"/>
    <w:pPr>
      <w:spacing w:after="120" w:line="480" w:lineRule="auto"/>
      <w:ind w:left="283"/>
      <w:outlineLvl w:val="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6F7EE8"/>
    <w:rPr>
      <w:rFonts w:ascii="Arial Narrow" w:eastAsia="Times New Roman" w:hAnsi="Arial Narro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F7EE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F7EE8"/>
  </w:style>
  <w:style w:type="paragraph" w:styleId="En-tte">
    <w:name w:val="header"/>
    <w:basedOn w:val="Normal"/>
    <w:link w:val="En-tteCar"/>
    <w:uiPriority w:val="99"/>
    <w:semiHidden/>
    <w:unhideWhenUsed/>
    <w:rsid w:val="006F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7EE8"/>
  </w:style>
  <w:style w:type="paragraph" w:styleId="Pieddepage">
    <w:name w:val="footer"/>
    <w:basedOn w:val="Normal"/>
    <w:link w:val="PieddepageCar"/>
    <w:uiPriority w:val="99"/>
    <w:semiHidden/>
    <w:unhideWhenUsed/>
    <w:rsid w:val="006F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7EE8"/>
  </w:style>
  <w:style w:type="paragraph" w:styleId="Titre">
    <w:name w:val="Title"/>
    <w:basedOn w:val="Normal"/>
    <w:link w:val="TitreCar"/>
    <w:uiPriority w:val="99"/>
    <w:qFormat/>
    <w:rsid w:val="00467B8E"/>
    <w:pPr>
      <w:spacing w:after="240" w:line="240" w:lineRule="auto"/>
      <w:jc w:val="center"/>
      <w:outlineLvl w:val="0"/>
    </w:pPr>
    <w:rPr>
      <w:rFonts w:ascii="Arial Narrow" w:eastAsia="Times New Roman" w:hAnsi="Arial Narrow" w:cs="Arial"/>
      <w:b/>
      <w:sz w:val="32"/>
      <w:szCs w:val="28"/>
    </w:rPr>
  </w:style>
  <w:style w:type="character" w:customStyle="1" w:styleId="TitreCar">
    <w:name w:val="Titre Car"/>
    <w:basedOn w:val="Policepardfaut"/>
    <w:link w:val="Titre"/>
    <w:uiPriority w:val="99"/>
    <w:rsid w:val="00467B8E"/>
    <w:rPr>
      <w:rFonts w:ascii="Arial Narrow" w:eastAsia="Times New Roman" w:hAnsi="Arial Narrow" w:cs="Arial"/>
      <w:b/>
      <w:sz w:val="32"/>
      <w:szCs w:val="28"/>
    </w:rPr>
  </w:style>
  <w:style w:type="paragraph" w:styleId="Sansinterligne">
    <w:name w:val="No Spacing"/>
    <w:link w:val="SansinterligneCar"/>
    <w:uiPriority w:val="1"/>
    <w:qFormat/>
    <w:rsid w:val="00467B8E"/>
    <w:pPr>
      <w:spacing w:after="0" w:line="240" w:lineRule="auto"/>
    </w:pPr>
    <w:rPr>
      <w:rFonts w:ascii="Calibri" w:eastAsia="Times New Roman" w:hAnsi="Calibri" w:cs="Arial"/>
      <w:lang w:eastAsia="en-US"/>
    </w:rPr>
  </w:style>
  <w:style w:type="character" w:customStyle="1" w:styleId="SansinterligneCar">
    <w:name w:val="Sans interligne Car"/>
    <w:link w:val="Sansinterligne"/>
    <w:uiPriority w:val="1"/>
    <w:rsid w:val="00467B8E"/>
    <w:rPr>
      <w:rFonts w:ascii="Calibri" w:eastAsia="Times New Roman" w:hAnsi="Calibri" w:cs="Arial"/>
      <w:lang w:eastAsia="en-US"/>
    </w:rPr>
  </w:style>
  <w:style w:type="character" w:customStyle="1" w:styleId="Corpsdutexte">
    <w:name w:val="Corps du texte"/>
    <w:basedOn w:val="Policepardfaut"/>
    <w:rsid w:val="00F96B6F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fr-FR" w:eastAsia="fr-FR" w:bidi="fr-FR"/>
    </w:rPr>
  </w:style>
  <w:style w:type="table" w:styleId="Grilledutableau">
    <w:name w:val="Table Grid"/>
    <w:basedOn w:val="TableauNormal"/>
    <w:uiPriority w:val="59"/>
    <w:rsid w:val="00F96B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link w:val="Style1Car"/>
    <w:qFormat/>
    <w:rsid w:val="00455306"/>
    <w:pPr>
      <w:spacing w:after="0"/>
      <w:outlineLvl w:val="0"/>
    </w:pPr>
    <w:rPr>
      <w:rFonts w:ascii="Arial" w:eastAsia="Times New Roman" w:hAnsi="Arial" w:cs="Times New Roman"/>
      <w:b/>
      <w:bCs/>
      <w:sz w:val="32"/>
      <w:szCs w:val="32"/>
      <w:u w:val="single"/>
    </w:rPr>
  </w:style>
  <w:style w:type="character" w:customStyle="1" w:styleId="Style1Car">
    <w:name w:val="Style1 Car"/>
    <w:link w:val="Style1"/>
    <w:rsid w:val="00455306"/>
    <w:rPr>
      <w:rFonts w:ascii="Arial" w:eastAsia="Times New Roman" w:hAnsi="Arial" w:cs="Times New Roman"/>
      <w:b/>
      <w:bCs/>
      <w:sz w:val="32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99"/>
    <w:qFormat/>
    <w:rsid w:val="006F7EE8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link w:val="Paragraphedeliste"/>
    <w:uiPriority w:val="99"/>
    <w:locked/>
    <w:rsid w:val="006F7EE8"/>
    <w:rPr>
      <w:rFonts w:eastAsiaTheme="minorHAnsi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6F7EE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F7EE8"/>
  </w:style>
  <w:style w:type="paragraph" w:customStyle="1" w:styleId="NORMALE">
    <w:name w:val="NORMALE"/>
    <w:basedOn w:val="Corpsdetexte2"/>
    <w:rsid w:val="006F7EE8"/>
    <w:pPr>
      <w:spacing w:after="0" w:line="240" w:lineRule="auto"/>
      <w:jc w:val="both"/>
      <w:outlineLvl w:val="0"/>
    </w:pPr>
    <w:rPr>
      <w:rFonts w:ascii="Arial Narrow" w:eastAsia="Times New Roman" w:hAnsi="Arial Narrow" w:cs="Arial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6F7EE8"/>
    <w:pPr>
      <w:spacing w:after="120" w:line="480" w:lineRule="auto"/>
      <w:ind w:left="283"/>
      <w:outlineLvl w:val="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6F7EE8"/>
    <w:rPr>
      <w:rFonts w:ascii="Arial Narrow" w:eastAsia="Times New Roman" w:hAnsi="Arial Narro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F7EE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F7EE8"/>
  </w:style>
  <w:style w:type="paragraph" w:styleId="En-tte">
    <w:name w:val="header"/>
    <w:basedOn w:val="Normal"/>
    <w:link w:val="En-tteCar"/>
    <w:uiPriority w:val="99"/>
    <w:semiHidden/>
    <w:unhideWhenUsed/>
    <w:rsid w:val="006F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7EE8"/>
  </w:style>
  <w:style w:type="paragraph" w:styleId="Pieddepage">
    <w:name w:val="footer"/>
    <w:basedOn w:val="Normal"/>
    <w:link w:val="PieddepageCar"/>
    <w:uiPriority w:val="99"/>
    <w:semiHidden/>
    <w:unhideWhenUsed/>
    <w:rsid w:val="006F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7EE8"/>
  </w:style>
  <w:style w:type="paragraph" w:styleId="Titre">
    <w:name w:val="Title"/>
    <w:basedOn w:val="Normal"/>
    <w:link w:val="TitreCar"/>
    <w:uiPriority w:val="99"/>
    <w:qFormat/>
    <w:rsid w:val="00467B8E"/>
    <w:pPr>
      <w:spacing w:after="240" w:line="240" w:lineRule="auto"/>
      <w:jc w:val="center"/>
      <w:outlineLvl w:val="0"/>
    </w:pPr>
    <w:rPr>
      <w:rFonts w:ascii="Arial Narrow" w:eastAsia="Times New Roman" w:hAnsi="Arial Narrow" w:cs="Arial"/>
      <w:b/>
      <w:sz w:val="32"/>
      <w:szCs w:val="28"/>
    </w:rPr>
  </w:style>
  <w:style w:type="character" w:customStyle="1" w:styleId="TitreCar">
    <w:name w:val="Titre Car"/>
    <w:basedOn w:val="Policepardfaut"/>
    <w:link w:val="Titre"/>
    <w:uiPriority w:val="99"/>
    <w:rsid w:val="00467B8E"/>
    <w:rPr>
      <w:rFonts w:ascii="Arial Narrow" w:eastAsia="Times New Roman" w:hAnsi="Arial Narrow" w:cs="Arial"/>
      <w:b/>
      <w:sz w:val="32"/>
      <w:szCs w:val="28"/>
    </w:rPr>
  </w:style>
  <w:style w:type="paragraph" w:styleId="Sansinterligne">
    <w:name w:val="No Spacing"/>
    <w:link w:val="SansinterligneCar"/>
    <w:uiPriority w:val="1"/>
    <w:qFormat/>
    <w:rsid w:val="00467B8E"/>
    <w:pPr>
      <w:spacing w:after="0" w:line="240" w:lineRule="auto"/>
    </w:pPr>
    <w:rPr>
      <w:rFonts w:ascii="Calibri" w:eastAsia="Times New Roman" w:hAnsi="Calibri" w:cs="Arial"/>
      <w:lang w:eastAsia="en-US"/>
    </w:rPr>
  </w:style>
  <w:style w:type="character" w:customStyle="1" w:styleId="SansinterligneCar">
    <w:name w:val="Sans interligne Car"/>
    <w:link w:val="Sansinterligne"/>
    <w:uiPriority w:val="1"/>
    <w:rsid w:val="00467B8E"/>
    <w:rPr>
      <w:rFonts w:ascii="Calibri" w:eastAsia="Times New Roman" w:hAnsi="Calibri" w:cs="Arial"/>
      <w:lang w:eastAsia="en-US"/>
    </w:rPr>
  </w:style>
  <w:style w:type="character" w:customStyle="1" w:styleId="Corpsdutexte">
    <w:name w:val="Corps du texte"/>
    <w:basedOn w:val="Policepardfaut"/>
    <w:rsid w:val="00F96B6F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fr-FR" w:eastAsia="fr-FR" w:bidi="fr-FR"/>
    </w:rPr>
  </w:style>
  <w:style w:type="table" w:styleId="Grilledutableau">
    <w:name w:val="Table Grid"/>
    <w:basedOn w:val="TableauNormal"/>
    <w:uiPriority w:val="59"/>
    <w:rsid w:val="00F96B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link w:val="Style1Car"/>
    <w:qFormat/>
    <w:rsid w:val="00455306"/>
    <w:pPr>
      <w:spacing w:after="0"/>
      <w:outlineLvl w:val="0"/>
    </w:pPr>
    <w:rPr>
      <w:rFonts w:ascii="Arial" w:eastAsia="Times New Roman" w:hAnsi="Arial" w:cs="Times New Roman"/>
      <w:b/>
      <w:bCs/>
      <w:sz w:val="32"/>
      <w:szCs w:val="32"/>
      <w:u w:val="single"/>
    </w:rPr>
  </w:style>
  <w:style w:type="character" w:customStyle="1" w:styleId="Style1Car">
    <w:name w:val="Style1 Car"/>
    <w:link w:val="Style1"/>
    <w:rsid w:val="00455306"/>
    <w:rPr>
      <w:rFonts w:ascii="Arial" w:eastAsia="Times New Roman" w:hAnsi="Arial" w:cs="Times New Roman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2019-09-12T10:08:00Z</cp:lastPrinted>
  <dcterms:created xsi:type="dcterms:W3CDTF">2019-09-12T09:21:00Z</dcterms:created>
  <dcterms:modified xsi:type="dcterms:W3CDTF">2019-09-12T10:08:00Z</dcterms:modified>
</cp:coreProperties>
</file>